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92" w:rsidRPr="00656055" w:rsidRDefault="00F62392" w:rsidP="00F6239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62392" w:rsidRPr="00656055" w:rsidRDefault="00F62392" w:rsidP="00F6239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5605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-231140</wp:posOffset>
                </wp:positionV>
                <wp:extent cx="800100" cy="343535"/>
                <wp:effectExtent l="0" t="0" r="19050" b="1841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92" w:rsidRDefault="00F62392" w:rsidP="00F62392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bCs/>
                              </w:rPr>
                              <w:t>附件3</w:t>
                            </w:r>
                          </w:p>
                          <w:p w:rsidR="00F62392" w:rsidRDefault="00F62392" w:rsidP="00F62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0.75pt;margin-top:-18.2pt;width:63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" strokeweight="1.5pt">
                <v:textbox>
                  <w:txbxContent>
                    <w:p w:rsidR="00F62392" w:rsidRDefault="00F62392" w:rsidP="00F62392">
                      <w:pPr>
                        <w:jc w:val="center"/>
                        <w:rPr>
                          <w:rFonts w:ascii="標楷體" w:eastAsia="標楷體" w:hAnsi="標楷體" w:cs="Arial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/>
                          <w:bCs/>
                        </w:rPr>
                        <w:t>附件3</w:t>
                      </w:r>
                    </w:p>
                    <w:p w:rsidR="00F62392" w:rsidRDefault="00F62392" w:rsidP="00F62392"/>
                  </w:txbxContent>
                </v:textbox>
                <w10:anchorlock/>
              </v:shape>
            </w:pict>
          </mc:Fallback>
        </mc:AlternateContent>
      </w:r>
      <w:r w:rsidRPr="00656055">
        <w:rPr>
          <w:rFonts w:ascii="標楷體" w:eastAsia="標楷體" w:hAnsi="標楷體"/>
          <w:b/>
          <w:sz w:val="28"/>
          <w:szCs w:val="28"/>
        </w:rPr>
        <w:t>教育部智慧電子整合性人才培育計畫簡介</w:t>
      </w:r>
    </w:p>
    <w:p w:rsidR="00F62392" w:rsidRPr="00656055" w:rsidRDefault="00F62392" w:rsidP="00F62392">
      <w:pPr>
        <w:snapToGrid w:val="0"/>
        <w:spacing w:beforeLines="30" w:before="72" w:line="320" w:lineRule="exact"/>
        <w:ind w:left="570" w:rightChars="-234" w:right="-562" w:hangingChars="211" w:hanging="570"/>
        <w:jc w:val="both"/>
        <w:rPr>
          <w:rFonts w:ascii="標楷體" w:eastAsia="標楷體" w:hAnsi="標楷體"/>
          <w:b/>
          <w:bCs/>
          <w:sz w:val="27"/>
          <w:szCs w:val="27"/>
        </w:rPr>
      </w:pPr>
      <w:r w:rsidRPr="00656055">
        <w:rPr>
          <w:rFonts w:ascii="標楷體" w:eastAsia="標楷體" w:hAnsi="標楷體"/>
          <w:b/>
          <w:bCs/>
          <w:sz w:val="27"/>
          <w:szCs w:val="27"/>
        </w:rPr>
        <w:t>一、緣起</w:t>
      </w:r>
    </w:p>
    <w:p w:rsidR="00F62392" w:rsidRPr="00656055" w:rsidRDefault="00F62392" w:rsidP="00F62392">
      <w:pPr>
        <w:widowControl/>
        <w:spacing w:beforeLines="50" w:before="120" w:line="320" w:lineRule="exact"/>
        <w:ind w:firstLine="461"/>
        <w:jc w:val="both"/>
        <w:rPr>
          <w:rFonts w:ascii="標楷體" w:eastAsia="標楷體" w:hAnsi="標楷體"/>
        </w:rPr>
      </w:pPr>
      <w:r w:rsidRPr="00656055">
        <w:rPr>
          <w:rFonts w:ascii="標楷體" w:eastAsia="標楷體" w:hAnsi="標楷體"/>
        </w:rPr>
        <w:t>為扶植電子產業創新並以產品應用為核心，IC業者、系統業者及支援體系應共同整合，發展MG+4C(生</w:t>
      </w:r>
      <w:proofErr w:type="gramStart"/>
      <w:r w:rsidRPr="00656055">
        <w:rPr>
          <w:rFonts w:ascii="標楷體" w:eastAsia="標楷體" w:hAnsi="標楷體"/>
        </w:rPr>
        <w:t>醫</w:t>
      </w:r>
      <w:proofErr w:type="gramEnd"/>
      <w:r w:rsidRPr="00656055">
        <w:rPr>
          <w:rFonts w:ascii="標楷體" w:eastAsia="標楷體" w:hAnsi="標楷體"/>
        </w:rPr>
        <w:t>、</w:t>
      </w:r>
      <w:proofErr w:type="gramStart"/>
      <w:r w:rsidRPr="00656055">
        <w:rPr>
          <w:rFonts w:ascii="標楷體" w:eastAsia="標楷體" w:hAnsi="標楷體"/>
        </w:rPr>
        <w:t>綠能</w:t>
      </w:r>
      <w:proofErr w:type="gramEnd"/>
      <w:r w:rsidRPr="00656055">
        <w:rPr>
          <w:rFonts w:ascii="標楷體" w:eastAsia="標楷體" w:hAnsi="標楷體"/>
        </w:rPr>
        <w:t>、資訊、通訊、消費性電子、車用電子)技術，同時加強系統建構能力與軟體，並配合發展3D IC異質整合技術，以帶動創新產品發展等。藉以凝聚產官學</w:t>
      </w:r>
      <w:proofErr w:type="gramStart"/>
      <w:r w:rsidRPr="00656055">
        <w:rPr>
          <w:rFonts w:ascii="標楷體" w:eastAsia="標楷體" w:hAnsi="標楷體"/>
        </w:rPr>
        <w:t>研</w:t>
      </w:r>
      <w:proofErr w:type="gramEnd"/>
      <w:r w:rsidRPr="00656055">
        <w:rPr>
          <w:rFonts w:ascii="標楷體" w:eastAsia="標楷體" w:hAnsi="標楷體"/>
        </w:rPr>
        <w:t>的力量、強調附加價值的產出、建立自主技術的能力、吸引專業人才的機制、開拓新興與應用市場，達成此五項關鍵成功要素，</w:t>
      </w:r>
      <w:proofErr w:type="gramStart"/>
      <w:r w:rsidRPr="00656055">
        <w:rPr>
          <w:rFonts w:ascii="標楷體" w:eastAsia="標楷體" w:hAnsi="標楷體"/>
        </w:rPr>
        <w:t>俾</w:t>
      </w:r>
      <w:proofErr w:type="gramEnd"/>
      <w:r w:rsidRPr="00656055">
        <w:rPr>
          <w:rFonts w:ascii="標楷體" w:eastAsia="標楷體" w:hAnsi="標楷體"/>
        </w:rPr>
        <w:t>利推動臺灣IC產業下世代的成長動能。</w:t>
      </w:r>
    </w:p>
    <w:p w:rsidR="00F62392" w:rsidRPr="00656055" w:rsidRDefault="00F62392" w:rsidP="00F62392">
      <w:pPr>
        <w:snapToGrid w:val="0"/>
        <w:spacing w:beforeLines="50" w:before="120" w:line="360" w:lineRule="exact"/>
        <w:ind w:left="570" w:rightChars="-234" w:right="-562" w:hangingChars="211" w:hanging="570"/>
        <w:jc w:val="both"/>
        <w:rPr>
          <w:rFonts w:ascii="標楷體" w:eastAsia="標楷體" w:hAnsi="標楷體"/>
          <w:b/>
          <w:bCs/>
          <w:sz w:val="27"/>
          <w:szCs w:val="27"/>
        </w:rPr>
      </w:pPr>
      <w:r w:rsidRPr="00656055">
        <w:rPr>
          <w:rFonts w:ascii="標楷體" w:eastAsia="標楷體" w:hAnsi="標楷體"/>
          <w:b/>
          <w:bCs/>
          <w:sz w:val="27"/>
          <w:szCs w:val="27"/>
        </w:rPr>
        <w:t>二、計畫目標</w:t>
      </w:r>
    </w:p>
    <w:p w:rsidR="00F62392" w:rsidRPr="00656055" w:rsidRDefault="00F62392" w:rsidP="00F62392">
      <w:pPr>
        <w:widowControl/>
        <w:spacing w:beforeLines="50" w:before="120" w:line="360" w:lineRule="exact"/>
        <w:ind w:firstLine="561"/>
        <w:jc w:val="both"/>
        <w:rPr>
          <w:rFonts w:ascii="標楷體" w:eastAsia="標楷體" w:hAnsi="標楷體"/>
        </w:rPr>
      </w:pPr>
      <w:r w:rsidRPr="00656055">
        <w:rPr>
          <w:rFonts w:ascii="標楷體" w:eastAsia="標楷體" w:hAnsi="標楷體"/>
        </w:rPr>
        <w:t>本計畫主要目標在於配合民國100年將實施之「智慧電子國家型計畫」，規劃相關推動工作及機制，藉由正規學校教育於未來5至10年培育智慧電子系統整合人才，而達成下列預定目標：</w:t>
      </w:r>
    </w:p>
    <w:p w:rsidR="00F62392" w:rsidRPr="00656055" w:rsidRDefault="00F62392" w:rsidP="00F62392">
      <w:pPr>
        <w:numPr>
          <w:ilvl w:val="0"/>
          <w:numId w:val="1"/>
        </w:numPr>
        <w:snapToGrid w:val="0"/>
        <w:spacing w:line="360" w:lineRule="exact"/>
        <w:ind w:left="454" w:hangingChars="189" w:hanging="454"/>
        <w:jc w:val="both"/>
        <w:rPr>
          <w:rFonts w:ascii="標楷體" w:eastAsia="標楷體" w:hAnsi="標楷體"/>
        </w:rPr>
      </w:pPr>
      <w:r w:rsidRPr="00656055">
        <w:rPr>
          <w:rFonts w:ascii="標楷體" w:eastAsia="標楷體" w:hAnsi="標楷體"/>
        </w:rPr>
        <w:t>因應科技發展和產業轉型，加速優質電子人才之培育，以協助臺灣發展成為全球高值化電子產業之重鎮。</w:t>
      </w:r>
    </w:p>
    <w:p w:rsidR="00F62392" w:rsidRPr="00656055" w:rsidRDefault="00F62392" w:rsidP="00F62392">
      <w:pPr>
        <w:numPr>
          <w:ilvl w:val="0"/>
          <w:numId w:val="1"/>
        </w:numPr>
        <w:snapToGrid w:val="0"/>
        <w:spacing w:line="360" w:lineRule="exact"/>
        <w:ind w:left="454" w:hangingChars="189" w:hanging="454"/>
        <w:jc w:val="both"/>
        <w:rPr>
          <w:rFonts w:ascii="標楷體" w:eastAsia="標楷體" w:hAnsi="標楷體"/>
        </w:rPr>
      </w:pPr>
      <w:r w:rsidRPr="00656055">
        <w:rPr>
          <w:rFonts w:ascii="標楷體" w:eastAsia="標楷體" w:hAnsi="標楷體"/>
        </w:rPr>
        <w:t>強化電子相關科系學生與其他領域(資訊、生</w:t>
      </w:r>
      <w:proofErr w:type="gramStart"/>
      <w:r w:rsidRPr="00656055">
        <w:rPr>
          <w:rFonts w:ascii="標楷體" w:eastAsia="標楷體" w:hAnsi="標楷體"/>
        </w:rPr>
        <w:t>醫</w:t>
      </w:r>
      <w:proofErr w:type="gramEnd"/>
      <w:r w:rsidRPr="00656055">
        <w:rPr>
          <w:rFonts w:ascii="標楷體" w:eastAsia="標楷體" w:hAnsi="標楷體"/>
        </w:rPr>
        <w:t>、微機電)結合之觀念，從而引領出創新(功能造型設計，商管領導創意)與跨領域解決問題之能力(MG+4C)，並深化電子相關科系學生在基礎、專業與跨領域課程之授課教材與實驗器材。</w:t>
      </w:r>
    </w:p>
    <w:p w:rsidR="00F62392" w:rsidRPr="00656055" w:rsidRDefault="00F62392" w:rsidP="00F62392">
      <w:pPr>
        <w:numPr>
          <w:ilvl w:val="0"/>
          <w:numId w:val="1"/>
        </w:numPr>
        <w:snapToGrid w:val="0"/>
        <w:spacing w:line="360" w:lineRule="exact"/>
        <w:ind w:left="454" w:hangingChars="189" w:hanging="454"/>
        <w:jc w:val="both"/>
        <w:rPr>
          <w:rFonts w:ascii="標楷體" w:eastAsia="標楷體" w:hAnsi="標楷體"/>
        </w:rPr>
      </w:pPr>
      <w:r w:rsidRPr="00656055">
        <w:rPr>
          <w:rFonts w:ascii="標楷體" w:eastAsia="標楷體" w:hAnsi="標楷體"/>
        </w:rPr>
        <w:t>建立智慧電子系統整合之教學與學習資源和機制，配合教學建置平</w:t>
      </w:r>
      <w:proofErr w:type="gramStart"/>
      <w:r w:rsidRPr="00656055">
        <w:rPr>
          <w:rFonts w:ascii="標楷體" w:eastAsia="標楷體" w:hAnsi="標楷體"/>
        </w:rPr>
        <w:t>臺</w:t>
      </w:r>
      <w:proofErr w:type="gramEnd"/>
      <w:r w:rsidRPr="00656055">
        <w:rPr>
          <w:rFonts w:ascii="標楷體" w:eastAsia="標楷體" w:hAnsi="標楷體"/>
        </w:rPr>
        <w:t>發展重點特色實驗室，使其可以與科技發展之需求同步成長。</w:t>
      </w:r>
    </w:p>
    <w:p w:rsidR="00F62392" w:rsidRPr="00656055" w:rsidRDefault="00F62392" w:rsidP="00F62392">
      <w:pPr>
        <w:numPr>
          <w:ilvl w:val="0"/>
          <w:numId w:val="1"/>
        </w:numPr>
        <w:snapToGrid w:val="0"/>
        <w:spacing w:line="360" w:lineRule="exact"/>
        <w:ind w:left="454" w:hangingChars="189" w:hanging="454"/>
        <w:jc w:val="both"/>
        <w:rPr>
          <w:rFonts w:ascii="標楷體" w:eastAsia="標楷體" w:hAnsi="標楷體" w:hint="eastAsia"/>
        </w:rPr>
      </w:pPr>
      <w:r w:rsidRPr="00656055">
        <w:rPr>
          <w:rFonts w:ascii="標楷體" w:eastAsia="標楷體" w:hAnsi="標楷體"/>
        </w:rPr>
        <w:t>提供電子專業師資自我成長的資源和機制，提升領域內師生之國際競爭力，使其可以與產業升級之需求同步成長。</w:t>
      </w:r>
    </w:p>
    <w:p w:rsidR="00F62392" w:rsidRPr="00656055" w:rsidRDefault="00F62392" w:rsidP="00F62392">
      <w:pPr>
        <w:snapToGrid w:val="0"/>
        <w:spacing w:beforeLines="50" w:before="120" w:line="360" w:lineRule="exact"/>
        <w:ind w:left="570" w:rightChars="-234" w:right="-562" w:hangingChars="211" w:hanging="570"/>
        <w:jc w:val="both"/>
        <w:rPr>
          <w:rFonts w:ascii="標楷體" w:eastAsia="標楷體" w:hAnsi="標楷體"/>
          <w:sz w:val="27"/>
          <w:szCs w:val="27"/>
        </w:rPr>
      </w:pPr>
      <w:r w:rsidRPr="00656055">
        <w:rPr>
          <w:rFonts w:ascii="標楷體" w:eastAsia="標楷體" w:hAnsi="標楷體"/>
          <w:sz w:val="27"/>
          <w:szCs w:val="27"/>
        </w:rPr>
        <w:t>三</w:t>
      </w:r>
      <w:r w:rsidRPr="00656055">
        <w:rPr>
          <w:rFonts w:ascii="標楷體" w:eastAsia="標楷體" w:hAnsi="標楷體"/>
          <w:b/>
          <w:bCs/>
          <w:sz w:val="27"/>
          <w:szCs w:val="27"/>
        </w:rPr>
        <w:t>、計畫重點</w:t>
      </w:r>
    </w:p>
    <w:p w:rsidR="00F62392" w:rsidRPr="00656055" w:rsidRDefault="00F62392" w:rsidP="00F62392">
      <w:pPr>
        <w:numPr>
          <w:ilvl w:val="0"/>
          <w:numId w:val="2"/>
        </w:numPr>
        <w:snapToGrid w:val="0"/>
        <w:spacing w:line="360" w:lineRule="exact"/>
        <w:ind w:left="454" w:hangingChars="189" w:hanging="454"/>
        <w:jc w:val="both"/>
        <w:rPr>
          <w:rFonts w:ascii="標楷體" w:eastAsia="標楷體" w:hAnsi="標楷體" w:hint="eastAsia"/>
        </w:rPr>
      </w:pPr>
      <w:r w:rsidRPr="00656055">
        <w:rPr>
          <w:rFonts w:ascii="標楷體" w:eastAsia="標楷體" w:hAnsi="標楷體" w:cs="Arial"/>
        </w:rPr>
        <w:t>培養領域內師生於智慧電子系統設計專業領域所需之基礎課程、整合平</w:t>
      </w:r>
      <w:proofErr w:type="gramStart"/>
      <w:r w:rsidRPr="00656055">
        <w:rPr>
          <w:rFonts w:ascii="標楷體" w:eastAsia="標楷體" w:hAnsi="標楷體" w:cs="Arial"/>
        </w:rPr>
        <w:t>臺</w:t>
      </w:r>
      <w:proofErr w:type="gramEnd"/>
      <w:r w:rsidRPr="00656055">
        <w:rPr>
          <w:rFonts w:ascii="標楷體" w:eastAsia="標楷體" w:hAnsi="標楷體" w:cs="Arial"/>
        </w:rPr>
        <w:t>開發與專業技術能力</w:t>
      </w:r>
      <w:r w:rsidRPr="00656055">
        <w:rPr>
          <w:rFonts w:ascii="標楷體" w:eastAsia="標楷體" w:hAnsi="標楷體" w:cs="Arial" w:hint="eastAsia"/>
        </w:rPr>
        <w:t>。</w:t>
      </w:r>
    </w:p>
    <w:p w:rsidR="00F62392" w:rsidRPr="00656055" w:rsidRDefault="00F62392" w:rsidP="00F62392">
      <w:pPr>
        <w:numPr>
          <w:ilvl w:val="0"/>
          <w:numId w:val="2"/>
        </w:numPr>
        <w:snapToGrid w:val="0"/>
        <w:spacing w:line="360" w:lineRule="exact"/>
        <w:ind w:left="454" w:hangingChars="189" w:hanging="454"/>
        <w:jc w:val="both"/>
        <w:rPr>
          <w:rFonts w:ascii="標楷體" w:eastAsia="標楷體" w:hAnsi="標楷體" w:hint="eastAsia"/>
        </w:rPr>
      </w:pPr>
      <w:r w:rsidRPr="00656055">
        <w:rPr>
          <w:rFonts w:ascii="標楷體" w:eastAsia="標楷體" w:hAnsi="標楷體" w:cs="Arial"/>
        </w:rPr>
        <w:t>提升領域內師生之國際競爭力與國際事務參與</w:t>
      </w:r>
      <w:r w:rsidRPr="00656055">
        <w:rPr>
          <w:rFonts w:ascii="標楷體" w:eastAsia="標楷體" w:hAnsi="標楷體" w:cs="Arial" w:hint="eastAsia"/>
        </w:rPr>
        <w:t>。</w:t>
      </w:r>
    </w:p>
    <w:p w:rsidR="00F62392" w:rsidRPr="00656055" w:rsidRDefault="00F62392" w:rsidP="00F62392">
      <w:pPr>
        <w:numPr>
          <w:ilvl w:val="0"/>
          <w:numId w:val="2"/>
        </w:numPr>
        <w:snapToGrid w:val="0"/>
        <w:spacing w:line="360" w:lineRule="exact"/>
        <w:ind w:left="454" w:hangingChars="189" w:hanging="454"/>
        <w:jc w:val="both"/>
        <w:rPr>
          <w:rFonts w:ascii="標楷體" w:eastAsia="標楷體" w:hAnsi="標楷體"/>
        </w:rPr>
      </w:pPr>
      <w:r w:rsidRPr="00656055">
        <w:rPr>
          <w:rFonts w:ascii="標楷體" w:eastAsia="標楷體" w:hAnsi="標楷體" w:cs="Arial"/>
        </w:rPr>
        <w:t>培育具備跨領域整合能力的人才，建立跨領域合作平</w:t>
      </w:r>
      <w:proofErr w:type="gramStart"/>
      <w:r w:rsidRPr="00656055">
        <w:rPr>
          <w:rFonts w:ascii="標楷體" w:eastAsia="標楷體" w:hAnsi="標楷體" w:cs="Arial"/>
        </w:rPr>
        <w:t>臺</w:t>
      </w:r>
      <w:proofErr w:type="gramEnd"/>
      <w:r w:rsidRPr="00656055">
        <w:rPr>
          <w:rFonts w:ascii="標楷體" w:eastAsia="標楷體" w:hAnsi="標楷體" w:cs="Arial" w:hint="eastAsia"/>
        </w:rPr>
        <w:t>。</w:t>
      </w:r>
    </w:p>
    <w:p w:rsidR="00F62392" w:rsidRPr="00656055" w:rsidRDefault="00F62392" w:rsidP="00F62392">
      <w:pPr>
        <w:snapToGrid w:val="0"/>
        <w:spacing w:beforeLines="50" w:before="120" w:line="360" w:lineRule="exact"/>
        <w:ind w:left="570" w:rightChars="-234" w:right="-562" w:hangingChars="211" w:hanging="570"/>
        <w:jc w:val="both"/>
        <w:rPr>
          <w:rFonts w:ascii="標楷體" w:eastAsia="標楷體" w:hAnsi="標楷體"/>
          <w:b/>
          <w:bCs/>
          <w:sz w:val="27"/>
          <w:szCs w:val="27"/>
        </w:rPr>
      </w:pPr>
      <w:r w:rsidRPr="00656055">
        <w:rPr>
          <w:rFonts w:ascii="標楷體" w:eastAsia="標楷體" w:hAnsi="標楷體"/>
          <w:b/>
          <w:sz w:val="27"/>
          <w:szCs w:val="27"/>
        </w:rPr>
        <w:t>四</w:t>
      </w:r>
      <w:r w:rsidRPr="00656055">
        <w:rPr>
          <w:rFonts w:ascii="標楷體" w:eastAsia="標楷體" w:hAnsi="標楷體"/>
          <w:b/>
          <w:bCs/>
          <w:sz w:val="27"/>
          <w:szCs w:val="27"/>
        </w:rPr>
        <w:t>、計畫成果</w:t>
      </w:r>
    </w:p>
    <w:p w:rsidR="00F62392" w:rsidRPr="00656055" w:rsidRDefault="00F62392" w:rsidP="00F62392">
      <w:pPr>
        <w:widowControl/>
        <w:spacing w:beforeLines="50" w:before="120" w:line="360" w:lineRule="exact"/>
        <w:ind w:firstLine="561"/>
        <w:jc w:val="both"/>
        <w:rPr>
          <w:rFonts w:ascii="標楷體" w:eastAsia="標楷體" w:hAnsi="標楷體" w:hint="eastAsia"/>
          <w:kern w:val="0"/>
        </w:rPr>
      </w:pPr>
      <w:r w:rsidRPr="00656055">
        <w:rPr>
          <w:rFonts w:ascii="標楷體" w:eastAsia="標楷體" w:hAnsi="標楷體"/>
          <w:kern w:val="0"/>
        </w:rPr>
        <w:t>本計畫補助</w:t>
      </w:r>
      <w:r w:rsidRPr="00656055">
        <w:rPr>
          <w:rFonts w:ascii="標楷體" w:eastAsia="標楷體" w:hAnsi="標楷體" w:hint="eastAsia"/>
          <w:kern w:val="0"/>
        </w:rPr>
        <w:t>推動</w:t>
      </w:r>
      <w:r w:rsidRPr="00656055">
        <w:rPr>
          <w:rFonts w:ascii="標楷體" w:eastAsia="標楷體" w:hAnsi="標楷體" w:hint="eastAsia"/>
        </w:rPr>
        <w:t>6</w:t>
      </w:r>
      <w:r w:rsidRPr="00656055">
        <w:rPr>
          <w:rFonts w:ascii="標楷體" w:eastAsia="標楷體" w:hAnsi="標楷體"/>
        </w:rPr>
        <w:t>個跨校聯盟計畫</w:t>
      </w:r>
      <w:r w:rsidRPr="00656055">
        <w:rPr>
          <w:rFonts w:ascii="標楷體" w:eastAsia="標楷體" w:hAnsi="標楷體"/>
          <w:kern w:val="0"/>
        </w:rPr>
        <w:t>，各聯盟結合跨校師資發展各重點領域教學資源，並透過教材資料庫及各類學術活動，積極推廣所開發之教學資源，提供全國大學校院教師共享。</w:t>
      </w:r>
      <w:proofErr w:type="gramStart"/>
      <w:r w:rsidRPr="00656055">
        <w:rPr>
          <w:rFonts w:ascii="標楷體" w:eastAsia="標楷體" w:hAnsi="標楷體"/>
          <w:kern w:val="0"/>
        </w:rPr>
        <w:t>此外，</w:t>
      </w:r>
      <w:proofErr w:type="gramEnd"/>
      <w:r w:rsidRPr="00656055">
        <w:rPr>
          <w:rFonts w:ascii="標楷體" w:eastAsia="標楷體" w:hAnsi="標楷體" w:hint="eastAsia"/>
          <w:kern w:val="0"/>
        </w:rPr>
        <w:t>本</w:t>
      </w:r>
      <w:r w:rsidRPr="00656055">
        <w:rPr>
          <w:rFonts w:ascii="標楷體" w:eastAsia="標楷體" w:hAnsi="標楷體"/>
          <w:kern w:val="0"/>
        </w:rPr>
        <w:t>部每年約補助40餘所大學校院相關系所開授智慧電子跨領域應用專題系列課程，將智慧電子人才培育所需強化的「跨領域」及「實作」等觀念充分傳達，除引發電資領域相關領域教師之注意，並已引入相關應用領域教師或專家學者跨界合作，以智慧電子關鍵技術為本，注入創意、跨領域系統設計觀點，協助學校建立智慧電子教學能量及提升教學品質，</w:t>
      </w:r>
      <w:proofErr w:type="gramStart"/>
      <w:r w:rsidRPr="00656055">
        <w:rPr>
          <w:rFonts w:ascii="標楷體" w:eastAsia="標楷體" w:hAnsi="標楷體"/>
          <w:kern w:val="0"/>
        </w:rPr>
        <w:t>培養資電領域</w:t>
      </w:r>
      <w:proofErr w:type="gramEnd"/>
      <w:r w:rsidRPr="00656055">
        <w:rPr>
          <w:rFonts w:ascii="標楷體" w:eastAsia="標楷體" w:hAnsi="標楷體"/>
          <w:kern w:val="0"/>
        </w:rPr>
        <w:t>學生具備智慧電子重點領域核心專業及應用能力，以培育智慧電子產業發展所需之專業人才。</w:t>
      </w:r>
    </w:p>
    <w:p w:rsidR="00CA79E4" w:rsidRDefault="00F62392" w:rsidP="00F62392">
      <w:r w:rsidRPr="00656055">
        <w:rPr>
          <w:rFonts w:ascii="標楷體" w:eastAsia="標楷體" w:hAnsi="標楷體"/>
          <w:b/>
          <w:bCs/>
          <w:sz w:val="32"/>
          <w:szCs w:val="32"/>
        </w:rPr>
        <w:br w:type="page"/>
      </w:r>
      <w:bookmarkStart w:id="0" w:name="_GoBack"/>
      <w:bookmarkEnd w:id="0"/>
    </w:p>
    <w:sectPr w:rsidR="00CA79E4" w:rsidSect="00812243">
      <w:pgSz w:w="12240" w:h="15840" w:code="1"/>
      <w:pgMar w:top="1134" w:right="1134" w:bottom="1134" w:left="1134" w:header="720" w:footer="720" w:gutter="0"/>
      <w:cols w:space="425"/>
      <w:titlePg/>
      <w:docGrid w:linePitch="565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5560"/>
    <w:multiLevelType w:val="hybridMultilevel"/>
    <w:tmpl w:val="3802F8E6"/>
    <w:lvl w:ilvl="0" w:tplc="7C7AD668">
      <w:start w:val="1"/>
      <w:numFmt w:val="ideographDigit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A06F808">
      <w:start w:val="1"/>
      <w:numFmt w:val="decimal"/>
      <w:lvlText w:val="%2)"/>
      <w:lvlJc w:val="left"/>
      <w:pPr>
        <w:ind w:left="-1202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638"/>
        </w:tabs>
        <w:ind w:left="-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8"/>
        </w:tabs>
        <w:ind w:left="-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"/>
        </w:tabs>
        <w:ind w:left="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2"/>
        </w:tabs>
        <w:ind w:left="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82"/>
        </w:tabs>
        <w:ind w:left="1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762"/>
        </w:tabs>
        <w:ind w:left="1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42"/>
        </w:tabs>
        <w:ind w:left="2242" w:hanging="480"/>
      </w:pPr>
    </w:lvl>
  </w:abstractNum>
  <w:abstractNum w:abstractNumId="1" w15:restartNumberingAfterBreak="0">
    <w:nsid w:val="624A69C2"/>
    <w:multiLevelType w:val="hybridMultilevel"/>
    <w:tmpl w:val="3802F8E6"/>
    <w:lvl w:ilvl="0" w:tplc="7C7AD668">
      <w:start w:val="1"/>
      <w:numFmt w:val="ideographDigit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A06F808">
      <w:start w:val="1"/>
      <w:numFmt w:val="decimal"/>
      <w:lvlText w:val="%2)"/>
      <w:lvlJc w:val="left"/>
      <w:pPr>
        <w:ind w:left="-1202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638"/>
        </w:tabs>
        <w:ind w:left="-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8"/>
        </w:tabs>
        <w:ind w:left="-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"/>
        </w:tabs>
        <w:ind w:left="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2"/>
        </w:tabs>
        <w:ind w:left="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82"/>
        </w:tabs>
        <w:ind w:left="1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762"/>
        </w:tabs>
        <w:ind w:left="1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42"/>
        </w:tabs>
        <w:ind w:left="224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6"/>
  <w:drawingGridVerticalSpacing w:val="5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92"/>
    <w:rsid w:val="006479E0"/>
    <w:rsid w:val="00812243"/>
    <w:rsid w:val="00CA79E4"/>
    <w:rsid w:val="00F6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2C55B-9756-4C15-BCE7-892AC2C5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1</cp:revision>
  <dcterms:created xsi:type="dcterms:W3CDTF">2015-07-09T02:37:00Z</dcterms:created>
  <dcterms:modified xsi:type="dcterms:W3CDTF">2015-07-09T02:37:00Z</dcterms:modified>
</cp:coreProperties>
</file>