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83BEB" w14:textId="77777777" w:rsidR="00A26B5B" w:rsidRDefault="00A26B5B" w:rsidP="003C69C4">
      <w:pPr>
        <w:spacing w:line="600" w:lineRule="exact"/>
        <w:ind w:right="-284"/>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1</w:t>
      </w:r>
      <w:r>
        <w:rPr>
          <w:rFonts w:ascii="標楷體" w:eastAsia="標楷體" w:hAnsi="標楷體"/>
          <w:b/>
          <w:color w:val="000000" w:themeColor="text1"/>
          <w:sz w:val="36"/>
          <w:szCs w:val="36"/>
        </w:rPr>
        <w:t>07</w:t>
      </w:r>
      <w:r>
        <w:rPr>
          <w:rFonts w:ascii="標楷體" w:eastAsia="標楷體" w:hAnsi="標楷體" w:hint="eastAsia"/>
          <w:b/>
          <w:color w:val="000000" w:themeColor="text1"/>
          <w:sz w:val="36"/>
          <w:szCs w:val="36"/>
        </w:rPr>
        <w:t>年度</w:t>
      </w:r>
    </w:p>
    <w:p w14:paraId="112F908C" w14:textId="77777777" w:rsidR="00A26B5B" w:rsidRDefault="00A26B5B" w:rsidP="003C69C4">
      <w:pPr>
        <w:spacing w:line="600" w:lineRule="exact"/>
        <w:ind w:right="-284"/>
        <w:jc w:val="center"/>
        <w:rPr>
          <w:rFonts w:ascii="標楷體" w:eastAsia="標楷體" w:hAnsi="標楷體"/>
          <w:b/>
          <w:color w:val="000000" w:themeColor="text1"/>
          <w:sz w:val="36"/>
          <w:szCs w:val="36"/>
        </w:rPr>
      </w:pPr>
      <w:r w:rsidRPr="0074122C">
        <w:rPr>
          <w:rFonts w:ascii="標楷體" w:eastAsia="標楷體" w:hAnsi="標楷體" w:hint="eastAsia"/>
          <w:b/>
          <w:color w:val="000000" w:themeColor="text1"/>
          <w:sz w:val="36"/>
          <w:szCs w:val="36"/>
        </w:rPr>
        <w:t>提升高教公共性:完善弱勢協助機制，有效促進社會流動</w:t>
      </w:r>
    </w:p>
    <w:p w14:paraId="68C90D2B" w14:textId="6470FC6F" w:rsidR="00A26B5B" w:rsidRDefault="00A26B5B" w:rsidP="003C69C4">
      <w:pPr>
        <w:spacing w:line="600" w:lineRule="exact"/>
        <w:ind w:right="-284"/>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注意事項</w:t>
      </w:r>
    </w:p>
    <w:p w14:paraId="040B2150" w14:textId="77777777" w:rsidR="00A26B5B" w:rsidRDefault="00A26B5B" w:rsidP="00A26B5B"/>
    <w:p w14:paraId="3A09A2C0" w14:textId="48AD7A66" w:rsidR="00A26B5B" w:rsidRPr="00A26B5B" w:rsidRDefault="00A26B5B" w:rsidP="00A26B5B">
      <w:pPr>
        <w:pStyle w:val="a6"/>
        <w:numPr>
          <w:ilvl w:val="0"/>
          <w:numId w:val="1"/>
        </w:numPr>
        <w:ind w:leftChars="0"/>
        <w:rPr>
          <w:rFonts w:ascii="標楷體" w:eastAsia="標楷體" w:hAnsi="標楷體"/>
          <w:sz w:val="28"/>
          <w:szCs w:val="28"/>
        </w:rPr>
      </w:pPr>
      <w:r w:rsidRPr="00A26B5B">
        <w:rPr>
          <w:rFonts w:ascii="標楷體" w:eastAsia="標楷體" w:hAnsi="標楷體" w:hint="eastAsia"/>
          <w:sz w:val="28"/>
          <w:szCs w:val="28"/>
        </w:rPr>
        <w:t>國立學校所提「提升弱勢學生入學機會</w:t>
      </w:r>
      <w:r w:rsidR="0048059E">
        <w:rPr>
          <w:rFonts w:ascii="標楷體" w:eastAsia="標楷體" w:hAnsi="標楷體" w:hint="eastAsia"/>
          <w:sz w:val="28"/>
          <w:szCs w:val="28"/>
        </w:rPr>
        <w:t>(</w:t>
      </w:r>
      <w:r w:rsidR="0048059E">
        <w:rPr>
          <w:rFonts w:ascii="標楷體" w:eastAsia="標楷體" w:hAnsi="標楷體"/>
          <w:sz w:val="28"/>
          <w:szCs w:val="28"/>
        </w:rPr>
        <w:t>B1</w:t>
      </w:r>
      <w:r w:rsidR="0048059E">
        <w:rPr>
          <w:rFonts w:ascii="標楷體" w:eastAsia="標楷體" w:hAnsi="標楷體" w:hint="eastAsia"/>
          <w:sz w:val="28"/>
          <w:szCs w:val="28"/>
        </w:rPr>
        <w:t>)</w:t>
      </w:r>
      <w:r w:rsidRPr="00A26B5B">
        <w:rPr>
          <w:rFonts w:ascii="標楷體" w:eastAsia="標楷體" w:hAnsi="標楷體" w:hint="eastAsia"/>
          <w:sz w:val="28"/>
          <w:szCs w:val="28"/>
        </w:rPr>
        <w:t>」經費以經常門</w:t>
      </w:r>
      <w:r w:rsidR="007E0A4B">
        <w:rPr>
          <w:rFonts w:ascii="標楷體" w:eastAsia="標楷體" w:hAnsi="標楷體" w:hint="eastAsia"/>
          <w:sz w:val="28"/>
          <w:szCs w:val="28"/>
        </w:rPr>
        <w:t>編列</w:t>
      </w:r>
      <w:r w:rsidRPr="00A26B5B">
        <w:rPr>
          <w:rFonts w:ascii="標楷體" w:eastAsia="標楷體" w:hAnsi="標楷體" w:hint="eastAsia"/>
          <w:sz w:val="28"/>
          <w:szCs w:val="28"/>
        </w:rPr>
        <w:t>，不得編列人事費。</w:t>
      </w:r>
    </w:p>
    <w:p w14:paraId="1EB56B6E" w14:textId="6F273AC0" w:rsidR="00A26B5B" w:rsidRDefault="00A26B5B" w:rsidP="00A0634D">
      <w:pPr>
        <w:pStyle w:val="a6"/>
        <w:numPr>
          <w:ilvl w:val="0"/>
          <w:numId w:val="1"/>
        </w:numPr>
        <w:ind w:leftChars="0"/>
        <w:rPr>
          <w:rFonts w:ascii="標楷體" w:eastAsia="標楷體" w:hAnsi="標楷體"/>
          <w:sz w:val="28"/>
          <w:szCs w:val="28"/>
        </w:rPr>
      </w:pPr>
      <w:r w:rsidRPr="00A26B5B">
        <w:rPr>
          <w:rFonts w:ascii="標楷體" w:eastAsia="標楷體" w:hAnsi="標楷體" w:hint="eastAsia"/>
          <w:sz w:val="28"/>
          <w:szCs w:val="28"/>
        </w:rPr>
        <w:t>各校於「第二部分:弱勢學生輔導</w:t>
      </w:r>
      <w:r w:rsidR="0048059E">
        <w:rPr>
          <w:rFonts w:ascii="標楷體" w:eastAsia="標楷體" w:hAnsi="標楷體" w:hint="eastAsia"/>
          <w:sz w:val="28"/>
          <w:szCs w:val="28"/>
        </w:rPr>
        <w:t>(</w:t>
      </w:r>
      <w:r w:rsidR="0048059E">
        <w:rPr>
          <w:rFonts w:ascii="標楷體" w:eastAsia="標楷體" w:hAnsi="標楷體"/>
          <w:sz w:val="28"/>
          <w:szCs w:val="28"/>
        </w:rPr>
        <w:t>C</w:t>
      </w:r>
      <w:r w:rsidR="00A0634D">
        <w:rPr>
          <w:rFonts w:ascii="標楷體" w:eastAsia="標楷體" w:hAnsi="標楷體" w:hint="eastAsia"/>
          <w:sz w:val="28"/>
          <w:szCs w:val="28"/>
        </w:rPr>
        <w:t>1-</w:t>
      </w:r>
      <w:r w:rsidR="00A0634D" w:rsidRPr="00A0634D">
        <w:t xml:space="preserve"> </w:t>
      </w:r>
      <w:r w:rsidR="00A0634D" w:rsidRPr="00A0634D">
        <w:rPr>
          <w:rFonts w:ascii="標楷體" w:eastAsia="標楷體" w:hAnsi="標楷體"/>
          <w:sz w:val="28"/>
          <w:szCs w:val="28"/>
        </w:rPr>
        <w:t>C</w:t>
      </w:r>
      <w:r w:rsidR="00A0634D">
        <w:rPr>
          <w:rFonts w:ascii="標楷體" w:eastAsia="標楷體" w:hAnsi="標楷體" w:hint="eastAsia"/>
          <w:sz w:val="28"/>
          <w:szCs w:val="28"/>
        </w:rPr>
        <w:t>3</w:t>
      </w:r>
      <w:r w:rsidR="0048059E">
        <w:rPr>
          <w:rFonts w:ascii="標楷體" w:eastAsia="標楷體" w:hAnsi="標楷體" w:hint="eastAsia"/>
          <w:sz w:val="28"/>
          <w:szCs w:val="28"/>
        </w:rPr>
        <w:t>)</w:t>
      </w:r>
      <w:r w:rsidRPr="00A26B5B">
        <w:rPr>
          <w:rFonts w:ascii="標楷體" w:eastAsia="標楷體" w:hAnsi="標楷體" w:hint="eastAsia"/>
          <w:sz w:val="28"/>
          <w:szCs w:val="28"/>
        </w:rPr>
        <w:t>」所編列經費項目，不得編列「各項輔導機制所需之成本」，例如:工讀金、講座鐘點費、場地費…等，亦不得編列弱勢學生出國所需任何費用及招生入學獎學金;但得以</w:t>
      </w:r>
      <w:r w:rsidR="00E06CF9">
        <w:rPr>
          <w:rFonts w:ascii="標楷體" w:eastAsia="標楷體" w:hAnsi="標楷體" w:hint="eastAsia"/>
          <w:sz w:val="28"/>
          <w:szCs w:val="28"/>
        </w:rPr>
        <w:t>高教深更主冊經費或其他</w:t>
      </w:r>
      <w:r w:rsidRPr="00A26B5B">
        <w:rPr>
          <w:rFonts w:ascii="標楷體" w:eastAsia="標楷體" w:hAnsi="標楷體" w:hint="eastAsia"/>
          <w:sz w:val="28"/>
          <w:szCs w:val="28"/>
        </w:rPr>
        <w:t>自籌款經費支應。</w:t>
      </w:r>
    </w:p>
    <w:p w14:paraId="29D2E90C" w14:textId="0F11A825" w:rsidR="004B194C" w:rsidRPr="004B194C" w:rsidRDefault="004B194C" w:rsidP="004B194C">
      <w:pPr>
        <w:pStyle w:val="a6"/>
        <w:numPr>
          <w:ilvl w:val="0"/>
          <w:numId w:val="1"/>
        </w:numPr>
        <w:ind w:leftChars="0"/>
        <w:rPr>
          <w:rFonts w:ascii="標楷體" w:eastAsia="標楷體" w:hAnsi="標楷體"/>
          <w:sz w:val="28"/>
          <w:szCs w:val="28"/>
        </w:rPr>
      </w:pPr>
      <w:r w:rsidRPr="004B194C">
        <w:rPr>
          <w:rFonts w:ascii="標楷體" w:eastAsia="標楷體" w:hAnsi="標楷體" w:hint="eastAsia"/>
          <w:sz w:val="28"/>
          <w:szCs w:val="28"/>
        </w:rPr>
        <w:t>學校</w:t>
      </w:r>
      <w:r>
        <w:rPr>
          <w:rFonts w:ascii="標楷體" w:eastAsia="標楷體" w:hAnsi="標楷體" w:hint="eastAsia"/>
          <w:sz w:val="28"/>
          <w:szCs w:val="28"/>
        </w:rPr>
        <w:t>執行本項計畫，</w:t>
      </w:r>
      <w:r w:rsidRPr="004B194C">
        <w:rPr>
          <w:rFonts w:ascii="標楷體" w:eastAsia="標楷體" w:hAnsi="標楷體" w:hint="eastAsia"/>
          <w:sz w:val="28"/>
          <w:szCs w:val="28"/>
        </w:rPr>
        <w:t>應先行瞭解校內弱勢學生之需求，給予適切的協助</w:t>
      </w:r>
      <w:r>
        <w:rPr>
          <w:rFonts w:ascii="標楷體" w:eastAsia="標楷體" w:hAnsi="標楷體" w:hint="eastAsia"/>
          <w:sz w:val="28"/>
          <w:szCs w:val="28"/>
        </w:rPr>
        <w:t>，並將學校</w:t>
      </w:r>
      <w:r w:rsidRPr="004B194C">
        <w:rPr>
          <w:rFonts w:ascii="標楷體" w:eastAsia="標楷體" w:hAnsi="標楷體" w:hint="eastAsia"/>
          <w:sz w:val="28"/>
          <w:szCs w:val="28"/>
        </w:rPr>
        <w:t>輔導個案</w:t>
      </w:r>
      <w:r>
        <w:rPr>
          <w:rFonts w:ascii="標楷體" w:eastAsia="標楷體" w:hAnsi="標楷體" w:hint="eastAsia"/>
          <w:sz w:val="28"/>
          <w:szCs w:val="28"/>
        </w:rPr>
        <w:t>或措施，適時配合本部助學政策之宣導。</w:t>
      </w:r>
    </w:p>
    <w:p w14:paraId="2DC25219" w14:textId="0EB9A61F" w:rsidR="00A26B5B" w:rsidRDefault="00A26B5B" w:rsidP="00A26B5B">
      <w:pPr>
        <w:pStyle w:val="a6"/>
        <w:numPr>
          <w:ilvl w:val="0"/>
          <w:numId w:val="1"/>
        </w:numPr>
        <w:ind w:leftChars="0"/>
        <w:rPr>
          <w:rFonts w:ascii="標楷體" w:eastAsia="標楷體" w:hAnsi="標楷體"/>
          <w:sz w:val="28"/>
          <w:szCs w:val="28"/>
        </w:rPr>
      </w:pPr>
      <w:r w:rsidRPr="00A26B5B">
        <w:rPr>
          <w:rFonts w:ascii="標楷體" w:eastAsia="標楷體" w:hAnsi="標楷體" w:hint="eastAsia"/>
          <w:sz w:val="28"/>
          <w:szCs w:val="28"/>
        </w:rPr>
        <w:t>公立學校所訂定之招收弱勢學生精進機制成效與公私立學校所定弱勢學生輔導成效(含外部募款經費支用)，均需併入深耕計畫成果報告，本部</w:t>
      </w:r>
      <w:r w:rsidR="00E06CF9">
        <w:rPr>
          <w:rFonts w:ascii="標楷體" w:eastAsia="標楷體" w:hAnsi="標楷體" w:hint="eastAsia"/>
          <w:sz w:val="28"/>
          <w:szCs w:val="28"/>
        </w:rPr>
        <w:t>將</w:t>
      </w:r>
      <w:r w:rsidRPr="00A26B5B">
        <w:rPr>
          <w:rFonts w:ascii="標楷體" w:eastAsia="標楷體" w:hAnsi="標楷體" w:hint="eastAsia"/>
          <w:sz w:val="28"/>
          <w:szCs w:val="28"/>
        </w:rPr>
        <w:t>納入次年度經費核配及減列之參考依據。</w:t>
      </w:r>
    </w:p>
    <w:p w14:paraId="12D45D3B" w14:textId="77777777" w:rsidR="003C69C4" w:rsidRDefault="00A26B5B" w:rsidP="003C69C4">
      <w:pPr>
        <w:pStyle w:val="a6"/>
        <w:numPr>
          <w:ilvl w:val="0"/>
          <w:numId w:val="1"/>
        </w:numPr>
        <w:ind w:leftChars="0"/>
        <w:rPr>
          <w:rFonts w:ascii="標楷體" w:eastAsia="標楷體" w:hAnsi="標楷體"/>
          <w:sz w:val="28"/>
          <w:szCs w:val="28"/>
        </w:rPr>
      </w:pPr>
      <w:r w:rsidRPr="00A26B5B">
        <w:rPr>
          <w:rFonts w:ascii="標楷體" w:eastAsia="標楷體" w:hAnsi="標楷體" w:hint="eastAsia"/>
          <w:sz w:val="28"/>
          <w:szCs w:val="28"/>
        </w:rPr>
        <w:t>有關「提升弱勢學生入學機會」補助經費應優先使用於</w:t>
      </w:r>
      <w:r>
        <w:rPr>
          <w:rFonts w:ascii="標楷體" w:eastAsia="標楷體" w:hAnsi="標楷體" w:hint="eastAsia"/>
          <w:sz w:val="28"/>
          <w:szCs w:val="28"/>
        </w:rPr>
        <w:t>各校所規劃之招收弱勢學生業務</w:t>
      </w:r>
      <w:r w:rsidRPr="00A26B5B">
        <w:rPr>
          <w:rFonts w:ascii="標楷體" w:eastAsia="標楷體" w:hAnsi="標楷體" w:hint="eastAsia"/>
          <w:sz w:val="28"/>
          <w:szCs w:val="28"/>
        </w:rPr>
        <w:t>，如有結餘，得流入</w:t>
      </w:r>
      <w:r w:rsidR="003C69C4">
        <w:rPr>
          <w:rFonts w:ascii="標楷體" w:eastAsia="標楷體" w:hAnsi="標楷體" w:hint="eastAsia"/>
          <w:sz w:val="28"/>
          <w:szCs w:val="28"/>
        </w:rPr>
        <w:t>本部補助之</w:t>
      </w:r>
      <w:r w:rsidRPr="00A26B5B">
        <w:rPr>
          <w:rFonts w:ascii="標楷體" w:eastAsia="標楷體" w:hAnsi="標楷體" w:hint="eastAsia"/>
          <w:sz w:val="28"/>
          <w:szCs w:val="28"/>
        </w:rPr>
        <w:t>強化「各校整體弱勢學生輔導機制」及「引導學校建立外部募款基金」</w:t>
      </w:r>
      <w:r w:rsidR="003C69C4">
        <w:rPr>
          <w:rFonts w:ascii="標楷體" w:eastAsia="標楷體" w:hAnsi="標楷體" w:hint="eastAsia"/>
          <w:sz w:val="28"/>
          <w:szCs w:val="28"/>
        </w:rPr>
        <w:t>經費項下</w:t>
      </w:r>
      <w:r w:rsidRPr="00A26B5B">
        <w:rPr>
          <w:rFonts w:ascii="標楷體" w:eastAsia="標楷體" w:hAnsi="標楷體" w:hint="eastAsia"/>
          <w:sz w:val="28"/>
          <w:szCs w:val="28"/>
        </w:rPr>
        <w:t>:</w:t>
      </w:r>
      <w:r w:rsidR="003C69C4">
        <w:rPr>
          <w:rFonts w:ascii="標楷體" w:eastAsia="標楷體" w:hAnsi="標楷體" w:hint="eastAsia"/>
          <w:sz w:val="28"/>
          <w:szCs w:val="28"/>
        </w:rPr>
        <w:t>且</w:t>
      </w:r>
      <w:r w:rsidRPr="00A26B5B">
        <w:rPr>
          <w:rFonts w:ascii="標楷體" w:eastAsia="標楷體" w:hAnsi="標楷體" w:hint="eastAsia"/>
          <w:sz w:val="28"/>
          <w:szCs w:val="28"/>
        </w:rPr>
        <w:t>各項經費應核實編列，如有餘款，應依比例繳回</w:t>
      </w:r>
      <w:r w:rsidR="003C69C4">
        <w:rPr>
          <w:rFonts w:ascii="標楷體" w:eastAsia="標楷體" w:hAnsi="標楷體" w:hint="eastAsia"/>
          <w:sz w:val="28"/>
          <w:szCs w:val="28"/>
        </w:rPr>
        <w:t>:</w:t>
      </w:r>
    </w:p>
    <w:p w14:paraId="7809533B" w14:textId="77777777" w:rsidR="003C69C4" w:rsidRDefault="003C69C4" w:rsidP="003C69C4">
      <w:pPr>
        <w:pStyle w:val="a6"/>
        <w:numPr>
          <w:ilvl w:val="0"/>
          <w:numId w:val="2"/>
        </w:numPr>
        <w:ind w:leftChars="0"/>
        <w:rPr>
          <w:rFonts w:ascii="標楷體" w:eastAsia="標楷體" w:hAnsi="標楷體"/>
          <w:sz w:val="28"/>
          <w:szCs w:val="28"/>
        </w:rPr>
      </w:pPr>
      <w:r w:rsidRPr="00A26B5B">
        <w:rPr>
          <w:rFonts w:ascii="標楷體" w:eastAsia="標楷體" w:hAnsi="標楷體" w:hint="eastAsia"/>
          <w:sz w:val="28"/>
          <w:szCs w:val="28"/>
        </w:rPr>
        <w:t>「提升弱勢學生入學機會</w:t>
      </w:r>
      <w:r>
        <w:rPr>
          <w:rFonts w:ascii="標楷體" w:eastAsia="標楷體" w:hAnsi="標楷體" w:hint="eastAsia"/>
          <w:sz w:val="28"/>
          <w:szCs w:val="28"/>
        </w:rPr>
        <w:t>(</w:t>
      </w:r>
      <w:r>
        <w:rPr>
          <w:rFonts w:ascii="標楷體" w:eastAsia="標楷體" w:hAnsi="標楷體"/>
          <w:sz w:val="28"/>
          <w:szCs w:val="28"/>
        </w:rPr>
        <w:t>B1</w:t>
      </w:r>
      <w:r>
        <w:rPr>
          <w:rFonts w:ascii="標楷體" w:eastAsia="標楷體" w:hAnsi="標楷體" w:hint="eastAsia"/>
          <w:sz w:val="28"/>
          <w:szCs w:val="28"/>
        </w:rPr>
        <w:t>)</w:t>
      </w:r>
      <w:r w:rsidRPr="00A26B5B">
        <w:rPr>
          <w:rFonts w:ascii="標楷體" w:eastAsia="標楷體" w:hAnsi="標楷體" w:hint="eastAsia"/>
          <w:sz w:val="28"/>
          <w:szCs w:val="28"/>
        </w:rPr>
        <w:t>」</w:t>
      </w:r>
      <w:r>
        <w:rPr>
          <w:rFonts w:ascii="標楷體" w:eastAsia="標楷體" w:hAnsi="標楷體" w:hint="eastAsia"/>
          <w:sz w:val="28"/>
          <w:szCs w:val="28"/>
        </w:rPr>
        <w:t>及</w:t>
      </w:r>
      <w:r w:rsidRPr="00A26B5B">
        <w:rPr>
          <w:rFonts w:ascii="標楷體" w:eastAsia="標楷體" w:hAnsi="標楷體" w:hint="eastAsia"/>
          <w:sz w:val="28"/>
          <w:szCs w:val="28"/>
        </w:rPr>
        <w:t>「弱勢學生輔導</w:t>
      </w:r>
      <w:r>
        <w:rPr>
          <w:rFonts w:ascii="標楷體" w:eastAsia="標楷體" w:hAnsi="標楷體" w:hint="eastAsia"/>
          <w:sz w:val="28"/>
          <w:szCs w:val="28"/>
        </w:rPr>
        <w:t>基本補助</w:t>
      </w:r>
      <w:r>
        <w:rPr>
          <w:rFonts w:ascii="標楷體" w:eastAsia="標楷體" w:hAnsi="標楷體" w:hint="eastAsia"/>
          <w:sz w:val="28"/>
          <w:szCs w:val="28"/>
        </w:rPr>
        <w:lastRenderedPageBreak/>
        <w:t>(</w:t>
      </w:r>
      <w:r>
        <w:rPr>
          <w:rFonts w:ascii="標楷體" w:eastAsia="標楷體" w:hAnsi="標楷體"/>
          <w:sz w:val="28"/>
          <w:szCs w:val="28"/>
        </w:rPr>
        <w:t>C1</w:t>
      </w:r>
      <w:r>
        <w:rPr>
          <w:rFonts w:ascii="標楷體" w:eastAsia="標楷體" w:hAnsi="標楷體" w:hint="eastAsia"/>
          <w:sz w:val="28"/>
          <w:szCs w:val="28"/>
        </w:rPr>
        <w:t>)</w:t>
      </w:r>
      <w:r w:rsidRPr="00A26B5B">
        <w:rPr>
          <w:rFonts w:ascii="標楷體" w:eastAsia="標楷體" w:hAnsi="標楷體" w:hint="eastAsia"/>
          <w:sz w:val="28"/>
          <w:szCs w:val="28"/>
        </w:rPr>
        <w:t>」</w:t>
      </w:r>
      <w:r>
        <w:rPr>
          <w:rFonts w:ascii="標楷體" w:eastAsia="標楷體" w:hAnsi="標楷體" w:hint="eastAsia"/>
          <w:sz w:val="28"/>
          <w:szCs w:val="28"/>
        </w:rPr>
        <w:t>:為全部補助，如有餘款，全數繳回。</w:t>
      </w:r>
    </w:p>
    <w:p w14:paraId="18CB047C" w14:textId="37F993B4" w:rsidR="003C69C4" w:rsidRDefault="003C69C4" w:rsidP="003C69C4">
      <w:pPr>
        <w:pStyle w:val="a6"/>
        <w:numPr>
          <w:ilvl w:val="0"/>
          <w:numId w:val="2"/>
        </w:numPr>
        <w:ind w:leftChars="0"/>
        <w:rPr>
          <w:rFonts w:ascii="標楷體" w:eastAsia="標楷體" w:hAnsi="標楷體"/>
          <w:sz w:val="28"/>
          <w:szCs w:val="28"/>
        </w:rPr>
      </w:pPr>
      <w:r w:rsidRPr="00A26B5B">
        <w:rPr>
          <w:rFonts w:ascii="標楷體" w:eastAsia="標楷體" w:hAnsi="標楷體" w:hint="eastAsia"/>
          <w:sz w:val="28"/>
          <w:szCs w:val="28"/>
        </w:rPr>
        <w:t>「弱勢學生輔導</w:t>
      </w:r>
      <w:r>
        <w:rPr>
          <w:rFonts w:ascii="標楷體" w:eastAsia="標楷體" w:hAnsi="標楷體" w:hint="eastAsia"/>
          <w:sz w:val="28"/>
          <w:szCs w:val="28"/>
        </w:rPr>
        <w:t>獎勵補助(</w:t>
      </w:r>
      <w:r>
        <w:rPr>
          <w:rFonts w:ascii="標楷體" w:eastAsia="標楷體" w:hAnsi="標楷體"/>
          <w:sz w:val="28"/>
          <w:szCs w:val="28"/>
        </w:rPr>
        <w:t>C</w:t>
      </w:r>
      <w:r>
        <w:rPr>
          <w:rFonts w:ascii="標楷體" w:eastAsia="標楷體" w:hAnsi="標楷體" w:hint="eastAsia"/>
          <w:sz w:val="28"/>
          <w:szCs w:val="28"/>
        </w:rPr>
        <w:t>3)</w:t>
      </w:r>
      <w:r w:rsidRPr="00A26B5B">
        <w:rPr>
          <w:rFonts w:ascii="標楷體" w:eastAsia="標楷體" w:hAnsi="標楷體" w:hint="eastAsia"/>
          <w:sz w:val="28"/>
          <w:szCs w:val="28"/>
        </w:rPr>
        <w:t>」</w:t>
      </w:r>
      <w:r>
        <w:rPr>
          <w:rFonts w:ascii="標楷體" w:eastAsia="標楷體" w:hAnsi="標楷體" w:hint="eastAsia"/>
          <w:sz w:val="28"/>
          <w:szCs w:val="28"/>
        </w:rPr>
        <w:t>:</w:t>
      </w:r>
      <w:r w:rsidR="006B6BCF">
        <w:rPr>
          <w:rFonts w:ascii="標楷體" w:eastAsia="標楷體" w:hAnsi="標楷體" w:hint="eastAsia"/>
          <w:sz w:val="28"/>
          <w:szCs w:val="28"/>
        </w:rPr>
        <w:t>部分補助，依「學校外部募款基金(</w:t>
      </w:r>
      <w:r w:rsidR="006B6BCF">
        <w:rPr>
          <w:rFonts w:ascii="標楷體" w:eastAsia="標楷體" w:hAnsi="標楷體"/>
          <w:sz w:val="28"/>
          <w:szCs w:val="28"/>
        </w:rPr>
        <w:t>C2</w:t>
      </w:r>
      <w:r w:rsidR="006B6BCF">
        <w:rPr>
          <w:rFonts w:ascii="標楷體" w:eastAsia="標楷體" w:hAnsi="標楷體" w:hint="eastAsia"/>
          <w:sz w:val="28"/>
          <w:szCs w:val="28"/>
        </w:rPr>
        <w:t>)」金額1:1</w:t>
      </w:r>
      <w:r>
        <w:rPr>
          <w:rFonts w:ascii="標楷體" w:eastAsia="標楷體" w:hAnsi="標楷體" w:hint="eastAsia"/>
          <w:sz w:val="28"/>
          <w:szCs w:val="28"/>
        </w:rPr>
        <w:t>補助(</w:t>
      </w:r>
      <w:r w:rsidR="006B6BCF">
        <w:rPr>
          <w:rFonts w:ascii="標楷體" w:eastAsia="標楷體" w:hAnsi="標楷體" w:hint="eastAsia"/>
          <w:sz w:val="28"/>
          <w:szCs w:val="28"/>
        </w:rPr>
        <w:t>補助上限為500萬元</w:t>
      </w:r>
      <w:r>
        <w:rPr>
          <w:rFonts w:ascii="標楷體" w:eastAsia="標楷體" w:hAnsi="標楷體" w:hint="eastAsia"/>
          <w:sz w:val="28"/>
          <w:szCs w:val="28"/>
        </w:rPr>
        <w:t>)，</w:t>
      </w:r>
      <w:r w:rsidR="006B6BCF">
        <w:rPr>
          <w:rFonts w:ascii="標楷體" w:eastAsia="標楷體" w:hAnsi="標楷體" w:hint="eastAsia"/>
          <w:sz w:val="28"/>
          <w:szCs w:val="28"/>
        </w:rPr>
        <w:t>爰學校(C2</w:t>
      </w:r>
      <w:r w:rsidR="006B6BCF">
        <w:rPr>
          <w:rFonts w:ascii="標楷體" w:eastAsia="標楷體" w:hAnsi="標楷體"/>
          <w:sz w:val="28"/>
          <w:szCs w:val="28"/>
        </w:rPr>
        <w:t>)</w:t>
      </w:r>
      <w:r w:rsidR="006B6BCF">
        <w:rPr>
          <w:rFonts w:ascii="標楷體" w:eastAsia="標楷體" w:hAnsi="標楷體" w:hint="eastAsia"/>
          <w:sz w:val="28"/>
          <w:szCs w:val="28"/>
        </w:rPr>
        <w:t>募款金額超出500萬者，</w:t>
      </w:r>
      <w:r w:rsidR="007F0C8B">
        <w:rPr>
          <w:rFonts w:ascii="標楷體" w:eastAsia="標楷體" w:hAnsi="標楷體" w:hint="eastAsia"/>
          <w:sz w:val="28"/>
          <w:szCs w:val="28"/>
        </w:rPr>
        <w:t>如有餘款不須繳回</w:t>
      </w:r>
      <w:r w:rsidR="006B6BCF">
        <w:rPr>
          <w:rFonts w:ascii="標楷體" w:eastAsia="標楷體" w:hAnsi="標楷體" w:hint="eastAsia"/>
          <w:sz w:val="28"/>
          <w:szCs w:val="28"/>
        </w:rPr>
        <w:t>，</w:t>
      </w:r>
      <w:r w:rsidR="00B27F15">
        <w:rPr>
          <w:rFonts w:ascii="標楷體" w:eastAsia="標楷體" w:hAnsi="標楷體" w:hint="eastAsia"/>
          <w:sz w:val="28"/>
          <w:szCs w:val="28"/>
        </w:rPr>
        <w:t>本項</w:t>
      </w:r>
      <w:r w:rsidR="006B6BCF">
        <w:rPr>
          <w:rFonts w:ascii="標楷體" w:eastAsia="標楷體" w:hAnsi="標楷體" w:hint="eastAsia"/>
          <w:sz w:val="28"/>
          <w:szCs w:val="28"/>
        </w:rPr>
        <w:t>餘款一律以</w:t>
      </w:r>
      <w:r w:rsidR="00B27F15" w:rsidRPr="00B27F15">
        <w:rPr>
          <w:rFonts w:ascii="標楷體" w:eastAsia="標楷體" w:hAnsi="標楷體" w:hint="eastAsia"/>
          <w:sz w:val="28"/>
          <w:szCs w:val="28"/>
          <w:bdr w:val="single" w:sz="4" w:space="0" w:color="auto"/>
        </w:rPr>
        <w:t>(</w:t>
      </w:r>
      <w:r w:rsidR="006337E1">
        <w:rPr>
          <w:rFonts w:ascii="標楷體" w:eastAsia="標楷體" w:hAnsi="標楷體"/>
          <w:sz w:val="28"/>
          <w:szCs w:val="28"/>
          <w:bdr w:val="single" w:sz="4" w:space="0" w:color="auto"/>
        </w:rPr>
        <w:t>(</w:t>
      </w:r>
      <w:r w:rsidR="00B27F15" w:rsidRPr="00B27F15">
        <w:rPr>
          <w:rFonts w:ascii="標楷體" w:eastAsia="標楷體" w:hAnsi="標楷體"/>
          <w:sz w:val="28"/>
          <w:szCs w:val="28"/>
          <w:bdr w:val="single" w:sz="4" w:space="0" w:color="auto"/>
        </w:rPr>
        <w:t>C2</w:t>
      </w:r>
      <w:r w:rsidR="00B27F15" w:rsidRPr="00B27F15">
        <w:rPr>
          <w:rFonts w:ascii="標楷體" w:eastAsia="標楷體" w:hAnsi="標楷體" w:hint="eastAsia"/>
          <w:sz w:val="28"/>
          <w:szCs w:val="28"/>
          <w:bdr w:val="single" w:sz="4" w:space="0" w:color="auto"/>
        </w:rPr>
        <w:t>)</w:t>
      </w:r>
      <w:r w:rsidR="007F0C8B">
        <w:rPr>
          <w:rFonts w:ascii="標楷體" w:eastAsia="標楷體" w:hAnsi="標楷體" w:hint="eastAsia"/>
          <w:sz w:val="28"/>
          <w:szCs w:val="28"/>
          <w:bdr w:val="single" w:sz="4" w:space="0" w:color="auto"/>
        </w:rPr>
        <w:t>500萬以內之</w:t>
      </w:r>
      <w:r w:rsidR="00B27F15" w:rsidRPr="00B27F15">
        <w:rPr>
          <w:rFonts w:ascii="標楷體" w:eastAsia="標楷體" w:hAnsi="標楷體" w:hint="eastAsia"/>
          <w:sz w:val="28"/>
          <w:szCs w:val="28"/>
          <w:bdr w:val="single" w:sz="4" w:space="0" w:color="auto"/>
        </w:rPr>
        <w:t>餘款</w:t>
      </w:r>
      <w:r w:rsidR="00B27F15" w:rsidRPr="00B27F15">
        <w:rPr>
          <w:rFonts w:ascii="標楷體" w:eastAsia="標楷體" w:hAnsi="標楷體"/>
          <w:sz w:val="28"/>
          <w:szCs w:val="28"/>
          <w:bdr w:val="single" w:sz="4" w:space="0" w:color="auto"/>
        </w:rPr>
        <w:t>+(C3)</w:t>
      </w:r>
      <w:r w:rsidR="00B27F15" w:rsidRPr="00B27F15">
        <w:rPr>
          <w:rFonts w:ascii="標楷體" w:eastAsia="標楷體" w:hAnsi="標楷體" w:hint="eastAsia"/>
          <w:sz w:val="28"/>
          <w:szCs w:val="28"/>
          <w:bdr w:val="single" w:sz="4" w:space="0" w:color="auto"/>
        </w:rPr>
        <w:t>餘款</w:t>
      </w:r>
      <w:r w:rsidR="006337E1">
        <w:rPr>
          <w:rFonts w:ascii="標楷體" w:eastAsia="標楷體" w:hAnsi="標楷體" w:hint="eastAsia"/>
          <w:sz w:val="28"/>
          <w:szCs w:val="28"/>
          <w:bdr w:val="single" w:sz="4" w:space="0" w:color="auto"/>
        </w:rPr>
        <w:t>)</w:t>
      </w:r>
      <w:r w:rsidR="00B27F15" w:rsidRPr="00B27F15">
        <w:rPr>
          <w:rFonts w:ascii="標楷體" w:eastAsia="標楷體" w:hAnsi="標楷體"/>
          <w:sz w:val="28"/>
          <w:szCs w:val="28"/>
          <w:bdr w:val="single" w:sz="4" w:space="0" w:color="auto"/>
        </w:rPr>
        <w:t>/</w:t>
      </w:r>
      <w:r w:rsidR="00B27F15" w:rsidRPr="00B27F15">
        <w:rPr>
          <w:rFonts w:ascii="標楷體" w:eastAsia="標楷體" w:hAnsi="標楷體" w:hint="eastAsia"/>
          <w:sz w:val="28"/>
          <w:szCs w:val="28"/>
          <w:bdr w:val="single" w:sz="4" w:space="0" w:color="auto"/>
        </w:rPr>
        <w:t>2</w:t>
      </w:r>
      <w:r w:rsidR="00B27F15">
        <w:rPr>
          <w:rFonts w:ascii="標楷體" w:eastAsia="標楷體" w:hAnsi="標楷體" w:hint="eastAsia"/>
          <w:sz w:val="28"/>
          <w:szCs w:val="28"/>
        </w:rPr>
        <w:t>繳回。</w:t>
      </w:r>
    </w:p>
    <w:p w14:paraId="40A25E62" w14:textId="77777777" w:rsidR="00A0634D" w:rsidRPr="00A26B5B" w:rsidRDefault="00A0634D" w:rsidP="00A0634D">
      <w:pPr>
        <w:pStyle w:val="a6"/>
        <w:numPr>
          <w:ilvl w:val="0"/>
          <w:numId w:val="1"/>
        </w:numPr>
        <w:ind w:leftChars="0"/>
        <w:rPr>
          <w:rFonts w:ascii="標楷體" w:eastAsia="標楷體" w:hAnsi="標楷體"/>
          <w:sz w:val="28"/>
          <w:szCs w:val="28"/>
        </w:rPr>
      </w:pPr>
      <w:r w:rsidRPr="00A26B5B">
        <w:rPr>
          <w:rFonts w:ascii="標楷體" w:eastAsia="標楷體" w:hAnsi="標楷體" w:hint="eastAsia"/>
          <w:sz w:val="28"/>
          <w:szCs w:val="28"/>
        </w:rPr>
        <w:t>10</w:t>
      </w:r>
      <w:r>
        <w:rPr>
          <w:rFonts w:ascii="標楷體" w:eastAsia="標楷體" w:hAnsi="標楷體" w:hint="eastAsia"/>
          <w:sz w:val="28"/>
          <w:szCs w:val="28"/>
        </w:rPr>
        <w:t>8</w:t>
      </w:r>
      <w:r w:rsidRPr="00A26B5B">
        <w:rPr>
          <w:rFonts w:ascii="標楷體" w:eastAsia="標楷體" w:hAnsi="標楷體" w:hint="eastAsia"/>
          <w:sz w:val="28"/>
          <w:szCs w:val="28"/>
        </w:rPr>
        <w:t>年度旨揭計畫審查原則「未能建立輔導機制或外部募款基金之學校，</w:t>
      </w:r>
      <w:r>
        <w:rPr>
          <w:rFonts w:ascii="標楷體" w:eastAsia="標楷體" w:hAnsi="標楷體" w:hint="eastAsia"/>
          <w:sz w:val="28"/>
          <w:szCs w:val="28"/>
        </w:rPr>
        <w:t>將刪減</w:t>
      </w:r>
      <w:r w:rsidRPr="00A26B5B">
        <w:rPr>
          <w:rFonts w:ascii="標楷體" w:eastAsia="標楷體" w:hAnsi="標楷體" w:hint="eastAsia"/>
          <w:sz w:val="28"/>
          <w:szCs w:val="28"/>
        </w:rPr>
        <w:t>第二部分:弱勢學生輔導經費</w:t>
      </w:r>
      <w:r>
        <w:rPr>
          <w:rFonts w:ascii="標楷體" w:eastAsia="標楷體" w:hAnsi="標楷體" w:hint="eastAsia"/>
          <w:sz w:val="28"/>
          <w:szCs w:val="28"/>
        </w:rPr>
        <w:t>(</w:t>
      </w:r>
      <w:r>
        <w:rPr>
          <w:rFonts w:ascii="標楷體" w:eastAsia="標楷體" w:hAnsi="標楷體"/>
          <w:sz w:val="28"/>
          <w:szCs w:val="28"/>
        </w:rPr>
        <w:t>C</w:t>
      </w:r>
      <w:r>
        <w:rPr>
          <w:rFonts w:ascii="標楷體" w:eastAsia="標楷體" w:hAnsi="標楷體" w:hint="eastAsia"/>
          <w:sz w:val="28"/>
          <w:szCs w:val="28"/>
        </w:rPr>
        <w:t>)</w:t>
      </w:r>
      <w:r w:rsidRPr="00A26B5B">
        <w:rPr>
          <w:rFonts w:ascii="標楷體" w:eastAsia="標楷體" w:hAnsi="標楷體" w:hint="eastAsia"/>
          <w:sz w:val="28"/>
          <w:szCs w:val="28"/>
        </w:rPr>
        <w:t>」</w:t>
      </w:r>
    </w:p>
    <w:p w14:paraId="7CA42565" w14:textId="77777777" w:rsidR="00A0634D" w:rsidRPr="00A0634D" w:rsidRDefault="00A0634D" w:rsidP="00A0634D">
      <w:pPr>
        <w:pStyle w:val="a6"/>
        <w:ind w:leftChars="0" w:left="1440"/>
        <w:rPr>
          <w:rFonts w:ascii="標楷體" w:eastAsia="標楷體" w:hAnsi="標楷體" w:hint="eastAsia"/>
          <w:sz w:val="28"/>
          <w:szCs w:val="28"/>
        </w:rPr>
      </w:pPr>
      <w:bookmarkStart w:id="0" w:name="_GoBack"/>
      <w:bookmarkEnd w:id="0"/>
    </w:p>
    <w:sectPr w:rsidR="00A0634D" w:rsidRPr="00A0634D" w:rsidSect="009515BB">
      <w:pgSz w:w="11906" w:h="16838"/>
      <w:pgMar w:top="851"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65D6A" w14:textId="77777777" w:rsidR="000536D7" w:rsidRDefault="000536D7" w:rsidP="007E0A4B">
      <w:r>
        <w:separator/>
      </w:r>
    </w:p>
  </w:endnote>
  <w:endnote w:type="continuationSeparator" w:id="0">
    <w:p w14:paraId="75E5BE52" w14:textId="77777777" w:rsidR="000536D7" w:rsidRDefault="000536D7" w:rsidP="007E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FF1DF" w14:textId="77777777" w:rsidR="000536D7" w:rsidRDefault="000536D7" w:rsidP="007E0A4B">
      <w:r>
        <w:separator/>
      </w:r>
    </w:p>
  </w:footnote>
  <w:footnote w:type="continuationSeparator" w:id="0">
    <w:p w14:paraId="25754042" w14:textId="77777777" w:rsidR="000536D7" w:rsidRDefault="000536D7" w:rsidP="007E0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36438"/>
    <w:multiLevelType w:val="hybridMultilevel"/>
    <w:tmpl w:val="EC8C5AE8"/>
    <w:lvl w:ilvl="0" w:tplc="CD3626A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47862C1C"/>
    <w:multiLevelType w:val="hybridMultilevel"/>
    <w:tmpl w:val="6842450A"/>
    <w:lvl w:ilvl="0" w:tplc="4846FB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1F576FC"/>
    <w:multiLevelType w:val="hybridMultilevel"/>
    <w:tmpl w:val="01EE62D8"/>
    <w:lvl w:ilvl="0" w:tplc="6A560082">
      <w:start w:val="1"/>
      <w:numFmt w:val="bullet"/>
      <w:lvlText w:val="•"/>
      <w:lvlJc w:val="left"/>
      <w:pPr>
        <w:tabs>
          <w:tab w:val="num" w:pos="720"/>
        </w:tabs>
        <w:ind w:left="720" w:hanging="360"/>
      </w:pPr>
      <w:rPr>
        <w:rFonts w:ascii="新細明體" w:hAnsi="新細明體" w:hint="default"/>
      </w:rPr>
    </w:lvl>
    <w:lvl w:ilvl="1" w:tplc="E2A43C1A" w:tentative="1">
      <w:start w:val="1"/>
      <w:numFmt w:val="bullet"/>
      <w:lvlText w:val="•"/>
      <w:lvlJc w:val="left"/>
      <w:pPr>
        <w:tabs>
          <w:tab w:val="num" w:pos="1440"/>
        </w:tabs>
        <w:ind w:left="1440" w:hanging="360"/>
      </w:pPr>
      <w:rPr>
        <w:rFonts w:ascii="新細明體" w:hAnsi="新細明體" w:hint="default"/>
      </w:rPr>
    </w:lvl>
    <w:lvl w:ilvl="2" w:tplc="3A4E3638" w:tentative="1">
      <w:start w:val="1"/>
      <w:numFmt w:val="bullet"/>
      <w:lvlText w:val="•"/>
      <w:lvlJc w:val="left"/>
      <w:pPr>
        <w:tabs>
          <w:tab w:val="num" w:pos="2160"/>
        </w:tabs>
        <w:ind w:left="2160" w:hanging="360"/>
      </w:pPr>
      <w:rPr>
        <w:rFonts w:ascii="新細明體" w:hAnsi="新細明體" w:hint="default"/>
      </w:rPr>
    </w:lvl>
    <w:lvl w:ilvl="3" w:tplc="4BFA426A" w:tentative="1">
      <w:start w:val="1"/>
      <w:numFmt w:val="bullet"/>
      <w:lvlText w:val="•"/>
      <w:lvlJc w:val="left"/>
      <w:pPr>
        <w:tabs>
          <w:tab w:val="num" w:pos="2880"/>
        </w:tabs>
        <w:ind w:left="2880" w:hanging="360"/>
      </w:pPr>
      <w:rPr>
        <w:rFonts w:ascii="新細明體" w:hAnsi="新細明體" w:hint="default"/>
      </w:rPr>
    </w:lvl>
    <w:lvl w:ilvl="4" w:tplc="59DEEDB8" w:tentative="1">
      <w:start w:val="1"/>
      <w:numFmt w:val="bullet"/>
      <w:lvlText w:val="•"/>
      <w:lvlJc w:val="left"/>
      <w:pPr>
        <w:tabs>
          <w:tab w:val="num" w:pos="3600"/>
        </w:tabs>
        <w:ind w:left="3600" w:hanging="360"/>
      </w:pPr>
      <w:rPr>
        <w:rFonts w:ascii="新細明體" w:hAnsi="新細明體" w:hint="default"/>
      </w:rPr>
    </w:lvl>
    <w:lvl w:ilvl="5" w:tplc="390CD31A" w:tentative="1">
      <w:start w:val="1"/>
      <w:numFmt w:val="bullet"/>
      <w:lvlText w:val="•"/>
      <w:lvlJc w:val="left"/>
      <w:pPr>
        <w:tabs>
          <w:tab w:val="num" w:pos="4320"/>
        </w:tabs>
        <w:ind w:left="4320" w:hanging="360"/>
      </w:pPr>
      <w:rPr>
        <w:rFonts w:ascii="新細明體" w:hAnsi="新細明體" w:hint="default"/>
      </w:rPr>
    </w:lvl>
    <w:lvl w:ilvl="6" w:tplc="3ECA2792" w:tentative="1">
      <w:start w:val="1"/>
      <w:numFmt w:val="bullet"/>
      <w:lvlText w:val="•"/>
      <w:lvlJc w:val="left"/>
      <w:pPr>
        <w:tabs>
          <w:tab w:val="num" w:pos="5040"/>
        </w:tabs>
        <w:ind w:left="5040" w:hanging="360"/>
      </w:pPr>
      <w:rPr>
        <w:rFonts w:ascii="新細明體" w:hAnsi="新細明體" w:hint="default"/>
      </w:rPr>
    </w:lvl>
    <w:lvl w:ilvl="7" w:tplc="98A2236C" w:tentative="1">
      <w:start w:val="1"/>
      <w:numFmt w:val="bullet"/>
      <w:lvlText w:val="•"/>
      <w:lvlJc w:val="left"/>
      <w:pPr>
        <w:tabs>
          <w:tab w:val="num" w:pos="5760"/>
        </w:tabs>
        <w:ind w:left="5760" w:hanging="360"/>
      </w:pPr>
      <w:rPr>
        <w:rFonts w:ascii="新細明體" w:hAnsi="新細明體" w:hint="default"/>
      </w:rPr>
    </w:lvl>
    <w:lvl w:ilvl="8" w:tplc="302EA518" w:tentative="1">
      <w:start w:val="1"/>
      <w:numFmt w:val="bullet"/>
      <w:lvlText w:val="•"/>
      <w:lvlJc w:val="left"/>
      <w:pPr>
        <w:tabs>
          <w:tab w:val="num" w:pos="6480"/>
        </w:tabs>
        <w:ind w:left="6480" w:hanging="360"/>
      </w:pPr>
      <w:rPr>
        <w:rFonts w:ascii="新細明體" w:hAnsi="新細明體"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6F"/>
    <w:rsid w:val="000536D7"/>
    <w:rsid w:val="00362032"/>
    <w:rsid w:val="003C4E2F"/>
    <w:rsid w:val="003C69C4"/>
    <w:rsid w:val="0048059E"/>
    <w:rsid w:val="004A4EDA"/>
    <w:rsid w:val="004B194C"/>
    <w:rsid w:val="005752CA"/>
    <w:rsid w:val="006337E1"/>
    <w:rsid w:val="006B6BCF"/>
    <w:rsid w:val="006E52E5"/>
    <w:rsid w:val="007E0A4B"/>
    <w:rsid w:val="007F0C8B"/>
    <w:rsid w:val="008E7783"/>
    <w:rsid w:val="009515BB"/>
    <w:rsid w:val="00A0634D"/>
    <w:rsid w:val="00A26B5B"/>
    <w:rsid w:val="00B27F15"/>
    <w:rsid w:val="00C824D2"/>
    <w:rsid w:val="00CD2890"/>
    <w:rsid w:val="00D04523"/>
    <w:rsid w:val="00E06CF9"/>
    <w:rsid w:val="00E36889"/>
    <w:rsid w:val="00EB6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40530"/>
  <w15:chartTrackingRefBased/>
  <w15:docId w15:val="{537CB4CC-75D7-4157-B0F7-7F5364AA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26B5B"/>
    <w:rPr>
      <w:sz w:val="18"/>
      <w:szCs w:val="18"/>
    </w:rPr>
  </w:style>
  <w:style w:type="paragraph" w:styleId="a4">
    <w:name w:val="annotation text"/>
    <w:basedOn w:val="a"/>
    <w:link w:val="a5"/>
    <w:uiPriority w:val="99"/>
    <w:semiHidden/>
    <w:unhideWhenUsed/>
    <w:rsid w:val="00A26B5B"/>
  </w:style>
  <w:style w:type="character" w:customStyle="1" w:styleId="a5">
    <w:name w:val="註解文字 字元"/>
    <w:basedOn w:val="a0"/>
    <w:link w:val="a4"/>
    <w:uiPriority w:val="99"/>
    <w:semiHidden/>
    <w:rsid w:val="00A26B5B"/>
  </w:style>
  <w:style w:type="paragraph" w:styleId="a6">
    <w:name w:val="List Paragraph"/>
    <w:basedOn w:val="a"/>
    <w:uiPriority w:val="34"/>
    <w:qFormat/>
    <w:rsid w:val="00A26B5B"/>
    <w:pPr>
      <w:ind w:leftChars="200" w:left="480"/>
    </w:pPr>
  </w:style>
  <w:style w:type="paragraph" w:styleId="a7">
    <w:name w:val="Balloon Text"/>
    <w:basedOn w:val="a"/>
    <w:link w:val="a8"/>
    <w:uiPriority w:val="99"/>
    <w:semiHidden/>
    <w:unhideWhenUsed/>
    <w:rsid w:val="003C4E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C4E2F"/>
    <w:rPr>
      <w:rFonts w:asciiTheme="majorHAnsi" w:eastAsiaTheme="majorEastAsia" w:hAnsiTheme="majorHAnsi" w:cstheme="majorBidi"/>
      <w:sz w:val="18"/>
      <w:szCs w:val="18"/>
    </w:rPr>
  </w:style>
  <w:style w:type="paragraph" w:styleId="a9">
    <w:name w:val="annotation subject"/>
    <w:basedOn w:val="a4"/>
    <w:next w:val="a4"/>
    <w:link w:val="aa"/>
    <w:uiPriority w:val="99"/>
    <w:semiHidden/>
    <w:unhideWhenUsed/>
    <w:rsid w:val="00E36889"/>
    <w:rPr>
      <w:b/>
      <w:bCs/>
    </w:rPr>
  </w:style>
  <w:style w:type="character" w:customStyle="1" w:styleId="aa">
    <w:name w:val="註解主旨 字元"/>
    <w:basedOn w:val="a5"/>
    <w:link w:val="a9"/>
    <w:uiPriority w:val="99"/>
    <w:semiHidden/>
    <w:rsid w:val="00E36889"/>
    <w:rPr>
      <w:b/>
      <w:bCs/>
    </w:rPr>
  </w:style>
  <w:style w:type="paragraph" w:styleId="ab">
    <w:name w:val="header"/>
    <w:basedOn w:val="a"/>
    <w:link w:val="ac"/>
    <w:uiPriority w:val="99"/>
    <w:unhideWhenUsed/>
    <w:rsid w:val="007E0A4B"/>
    <w:pPr>
      <w:tabs>
        <w:tab w:val="center" w:pos="4153"/>
        <w:tab w:val="right" w:pos="8306"/>
      </w:tabs>
      <w:snapToGrid w:val="0"/>
    </w:pPr>
    <w:rPr>
      <w:sz w:val="20"/>
      <w:szCs w:val="20"/>
    </w:rPr>
  </w:style>
  <w:style w:type="character" w:customStyle="1" w:styleId="ac">
    <w:name w:val="頁首 字元"/>
    <w:basedOn w:val="a0"/>
    <w:link w:val="ab"/>
    <w:uiPriority w:val="99"/>
    <w:rsid w:val="007E0A4B"/>
    <w:rPr>
      <w:sz w:val="20"/>
      <w:szCs w:val="20"/>
    </w:rPr>
  </w:style>
  <w:style w:type="paragraph" w:styleId="ad">
    <w:name w:val="footer"/>
    <w:basedOn w:val="a"/>
    <w:link w:val="ae"/>
    <w:uiPriority w:val="99"/>
    <w:unhideWhenUsed/>
    <w:rsid w:val="007E0A4B"/>
    <w:pPr>
      <w:tabs>
        <w:tab w:val="center" w:pos="4153"/>
        <w:tab w:val="right" w:pos="8306"/>
      </w:tabs>
      <w:snapToGrid w:val="0"/>
    </w:pPr>
    <w:rPr>
      <w:sz w:val="20"/>
      <w:szCs w:val="20"/>
    </w:rPr>
  </w:style>
  <w:style w:type="character" w:customStyle="1" w:styleId="ae">
    <w:name w:val="頁尾 字元"/>
    <w:basedOn w:val="a0"/>
    <w:link w:val="ad"/>
    <w:uiPriority w:val="99"/>
    <w:rsid w:val="007E0A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1769">
      <w:bodyDiv w:val="1"/>
      <w:marLeft w:val="0"/>
      <w:marRight w:val="0"/>
      <w:marTop w:val="0"/>
      <w:marBottom w:val="0"/>
      <w:divBdr>
        <w:top w:val="none" w:sz="0" w:space="0" w:color="auto"/>
        <w:left w:val="none" w:sz="0" w:space="0" w:color="auto"/>
        <w:bottom w:val="none" w:sz="0" w:space="0" w:color="auto"/>
        <w:right w:val="none" w:sz="0" w:space="0" w:color="auto"/>
      </w:divBdr>
      <w:divsChild>
        <w:div w:id="1731883336">
          <w:marLeft w:val="547"/>
          <w:marRight w:val="0"/>
          <w:marTop w:val="0"/>
          <w:marBottom w:val="0"/>
          <w:divBdr>
            <w:top w:val="none" w:sz="0" w:space="0" w:color="auto"/>
            <w:left w:val="none" w:sz="0" w:space="0" w:color="auto"/>
            <w:bottom w:val="none" w:sz="0" w:space="0" w:color="auto"/>
            <w:right w:val="none" w:sz="0" w:space="0" w:color="auto"/>
          </w:divBdr>
        </w:div>
      </w:divsChild>
    </w:div>
    <w:div w:id="14307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陳鈺文</dc:creator>
  <cp:keywords/>
  <dc:description/>
  <cp:lastModifiedBy>高秋香</cp:lastModifiedBy>
  <cp:revision>2</cp:revision>
  <cp:lastPrinted>2018-09-07T02:12:00Z</cp:lastPrinted>
  <dcterms:created xsi:type="dcterms:W3CDTF">2018-09-11T01:28:00Z</dcterms:created>
  <dcterms:modified xsi:type="dcterms:W3CDTF">2018-09-11T01:28:00Z</dcterms:modified>
</cp:coreProperties>
</file>