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31F1">
      <w:pPr>
        <w:spacing w:line="360" w:lineRule="exact"/>
        <w:jc w:val="center"/>
        <w:rPr>
          <w:rFonts w:ascii="細明體" w:eastAsia="細明體" w:hAnsi="細明體" w:hint="eastAsia"/>
          <w:b/>
          <w:sz w:val="36"/>
        </w:rPr>
      </w:pPr>
      <w:bookmarkStart w:id="0" w:name="_GoBack"/>
      <w:bookmarkEnd w:id="0"/>
      <w:r>
        <w:rPr>
          <w:rFonts w:ascii="細明體" w:eastAsia="細明體" w:hAnsi="細明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990600" cy="466090"/>
                <wp:effectExtent l="0" t="0" r="0" b="0"/>
                <wp:wrapNone/>
                <wp:docPr id="2" name="抄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E37">
                            <w:pPr>
                              <w:pStyle w:val="a7"/>
                              <w:spacing w:line="240" w:lineRule="auto"/>
                              <w:rPr>
                                <w:rFonts w:ascii="Times" w:hAnsi="Times"/>
                                <w:szCs w:val="40"/>
                              </w:rPr>
                            </w:pPr>
                            <w:r>
                              <w:rPr>
                                <w:rFonts w:ascii="Times" w:hAnsi="Times" w:hint="eastAsia"/>
                                <w:szCs w:val="4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抄件" o:spid="_x0000_s1026" type="#_x0000_t202" style="position:absolute;left:0;text-align:left;margin-left:333pt;margin-top:-36pt;width:78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">
                <v:textbox inset="5pt,5pt,5pt,5pt">
                  <w:txbxContent>
                    <w:p w:rsidR="00000000" w:rsidRDefault="007D3E37">
                      <w:pPr>
                        <w:pStyle w:val="a7"/>
                        <w:spacing w:line="240" w:lineRule="auto"/>
                        <w:rPr>
                          <w:rFonts w:ascii="Times" w:hAnsi="Times"/>
                          <w:szCs w:val="40"/>
                        </w:rPr>
                      </w:pPr>
                      <w:r>
                        <w:rPr>
                          <w:rFonts w:ascii="Times" w:hAnsi="Times" w:hint="eastAsia"/>
                          <w:szCs w:val="4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D3E37">
        <w:rPr>
          <w:rFonts w:ascii="細明體" w:eastAsia="細明體" w:hAnsi="細明體" w:hint="eastAsia"/>
          <w:b/>
          <w:sz w:val="36"/>
        </w:rPr>
        <w:t>台灣學術網路管理規範</w:t>
      </w:r>
      <w:r w:rsidR="007D3E37">
        <w:rPr>
          <w:rFonts w:ascii="細明體" w:eastAsia="細明體" w:hAnsi="細明體" w:hint="eastAsia"/>
          <w:b/>
          <w:sz w:val="36"/>
        </w:rPr>
        <w:t>(</w:t>
      </w:r>
      <w:r w:rsidR="007D3E37">
        <w:rPr>
          <w:rFonts w:ascii="細明體" w:eastAsia="細明體" w:hAnsi="細明體" w:hint="eastAsia"/>
          <w:b/>
          <w:sz w:val="36"/>
        </w:rPr>
        <w:t>草案</w:t>
      </w:r>
      <w:r w:rsidR="007D3E37">
        <w:rPr>
          <w:rFonts w:ascii="細明體" w:eastAsia="細明體" w:hAnsi="細明體" w:hint="eastAsia"/>
          <w:b/>
          <w:sz w:val="36"/>
        </w:rPr>
        <w:t>)</w:t>
      </w:r>
      <w:r w:rsidR="007D3E37">
        <w:rPr>
          <w:rFonts w:ascii="細明體" w:eastAsia="細明體" w:hAnsi="細明體" w:hint="eastAsia"/>
          <w:b/>
          <w:sz w:val="36"/>
        </w:rPr>
        <w:t>（</w:t>
      </w:r>
      <w:r w:rsidR="007D3E37">
        <w:rPr>
          <w:rFonts w:ascii="細明體" w:eastAsia="細明體" w:hAnsi="細明體" w:hint="eastAsia"/>
          <w:b/>
          <w:sz w:val="36"/>
        </w:rPr>
        <w:t>93/05/12</w:t>
      </w:r>
      <w:r w:rsidR="007D3E37">
        <w:rPr>
          <w:rFonts w:ascii="細明體" w:eastAsia="細明體" w:hAnsi="細明體" w:hint="eastAsia"/>
          <w:b/>
          <w:sz w:val="36"/>
        </w:rPr>
        <w:t>）</w:t>
      </w:r>
    </w:p>
    <w:p w:rsidR="00000000" w:rsidRDefault="007D3E37">
      <w:pPr>
        <w:spacing w:line="360" w:lineRule="exact"/>
        <w:jc w:val="center"/>
        <w:rPr>
          <w:rFonts w:ascii="細明體" w:eastAsia="細明體" w:hAnsi="細明體" w:hint="eastAsia"/>
          <w:sz w:val="28"/>
        </w:rPr>
      </w:pPr>
    </w:p>
    <w:p w:rsidR="00000000" w:rsidRDefault="007D3E37">
      <w:pPr>
        <w:spacing w:line="440" w:lineRule="exact"/>
        <w:rPr>
          <w:rFonts w:ascii="細明體" w:eastAsia="細明體" w:hAnsi="細明體" w:hint="eastAsia"/>
          <w:sz w:val="28"/>
        </w:rPr>
      </w:pPr>
    </w:p>
    <w:p w:rsidR="00000000" w:rsidRDefault="007D3E37">
      <w:pPr>
        <w:numPr>
          <w:ilvl w:val="0"/>
          <w:numId w:val="13"/>
        </w:numPr>
        <w:spacing w:line="440" w:lineRule="exact"/>
        <w:ind w:left="1080" w:hanging="108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 xml:space="preserve"> </w:t>
      </w:r>
      <w:r>
        <w:rPr>
          <w:rFonts w:ascii="細明體" w:eastAsia="細明體" w:hAnsi="細明體" w:hint="eastAsia"/>
          <w:sz w:val="28"/>
        </w:rPr>
        <w:t>為充分發揮台灣學術網路（</w:t>
      </w:r>
      <w:r>
        <w:rPr>
          <w:rFonts w:ascii="細明體" w:eastAsia="細明體" w:hAnsi="細明體" w:hint="eastAsia"/>
          <w:sz w:val="28"/>
        </w:rPr>
        <w:t>TANet</w:t>
      </w:r>
      <w:r>
        <w:rPr>
          <w:rFonts w:ascii="細明體" w:eastAsia="細明體" w:hAnsi="細明體" w:hint="eastAsia"/>
          <w:sz w:val="28"/>
        </w:rPr>
        <w:t>）「以下簡稱學術網路」功能</w:t>
      </w:r>
      <w:r>
        <w:rPr>
          <w:rFonts w:ascii="新細明體"/>
          <w:sz w:val="28"/>
        </w:rPr>
        <w:t>，支援台灣地區學校及研究機構間之教學研究活動，相互分享資源</w:t>
      </w:r>
      <w:r>
        <w:rPr>
          <w:rFonts w:ascii="新細明體" w:hint="eastAsia"/>
          <w:sz w:val="28"/>
        </w:rPr>
        <w:t>、</w:t>
      </w:r>
      <w:r>
        <w:rPr>
          <w:rFonts w:ascii="新細明體"/>
          <w:sz w:val="28"/>
        </w:rPr>
        <w:t>提供合作機會</w:t>
      </w:r>
      <w:r>
        <w:rPr>
          <w:rFonts w:ascii="新細明體" w:hint="eastAsia"/>
          <w:sz w:val="28"/>
        </w:rPr>
        <w:t>與</w:t>
      </w:r>
      <w:r>
        <w:rPr>
          <w:rFonts w:hint="eastAsia"/>
          <w:sz w:val="28"/>
        </w:rPr>
        <w:t>尊重法治觀念，並</w:t>
      </w:r>
      <w:r>
        <w:rPr>
          <w:rFonts w:ascii="細明體" w:eastAsia="細明體" w:hAnsi="細明體" w:hint="eastAsia"/>
          <w:sz w:val="28"/>
        </w:rPr>
        <w:t>使網路管理者與使用者有所依循，特制定本規範。</w:t>
      </w:r>
      <w:r>
        <w:rPr>
          <w:rFonts w:ascii="細明體" w:eastAsia="細明體" w:hAnsi="細明體"/>
          <w:sz w:val="28"/>
        </w:rPr>
        <w:br/>
      </w:r>
    </w:p>
    <w:p w:rsidR="00000000" w:rsidRDefault="007D3E37">
      <w:pPr>
        <w:spacing w:line="440" w:lineRule="exact"/>
        <w:ind w:left="1078" w:hanging="107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第二條</w:t>
      </w:r>
      <w:r>
        <w:rPr>
          <w:rFonts w:ascii="細明體" w:eastAsia="細明體" w:hAnsi="細明體" w:hint="eastAsia"/>
          <w:sz w:val="28"/>
        </w:rPr>
        <w:t xml:space="preserve">  </w:t>
      </w:r>
      <w:r>
        <w:rPr>
          <w:rFonts w:ascii="細明體" w:eastAsia="細明體" w:hAnsi="細明體" w:hint="eastAsia"/>
          <w:sz w:val="28"/>
        </w:rPr>
        <w:t>凡申請使用</w:t>
      </w:r>
      <w:r>
        <w:rPr>
          <w:rFonts w:ascii="細明體" w:eastAsia="細明體" w:hAnsi="細明體" w:hint="eastAsia"/>
          <w:sz w:val="28"/>
        </w:rPr>
        <w:t>edu.tw</w:t>
      </w:r>
      <w:r>
        <w:rPr>
          <w:rFonts w:ascii="細明體" w:eastAsia="細明體" w:hAnsi="細明體" w:hint="eastAsia"/>
          <w:sz w:val="28"/>
        </w:rPr>
        <w:t>下之網域名稱</w:t>
      </w:r>
      <w:r>
        <w:rPr>
          <w:rFonts w:ascii="細明體" w:eastAsia="細明體" w:hAnsi="細明體" w:hint="eastAsia"/>
          <w:sz w:val="28"/>
        </w:rPr>
        <w:t>(DNS)</w:t>
      </w:r>
      <w:r>
        <w:rPr>
          <w:rFonts w:ascii="細明體" w:eastAsia="細明體" w:hAnsi="細明體" w:hint="eastAsia"/>
          <w:sz w:val="28"/>
        </w:rPr>
        <w:t>、網路協定位址</w:t>
      </w:r>
      <w:r>
        <w:rPr>
          <w:rFonts w:ascii="細明體" w:eastAsia="細明體" w:hAnsi="細明體" w:hint="eastAsia"/>
          <w:sz w:val="28"/>
        </w:rPr>
        <w:t>(IP Address)</w:t>
      </w:r>
      <w:r>
        <w:rPr>
          <w:rFonts w:ascii="細明體" w:eastAsia="細明體" w:hAnsi="細明體" w:hint="eastAsia"/>
          <w:sz w:val="28"/>
        </w:rPr>
        <w:t>等</w:t>
      </w:r>
      <w:r>
        <w:rPr>
          <w:rFonts w:ascii="細明體" w:eastAsia="細明體" w:hAnsi="細明體" w:hint="eastAsia"/>
          <w:color w:val="000000"/>
          <w:sz w:val="28"/>
        </w:rPr>
        <w:t>各級學校或學術研究機構</w:t>
      </w:r>
      <w:r>
        <w:rPr>
          <w:rFonts w:ascii="細明體" w:eastAsia="細明體" w:hAnsi="細明體" w:hint="eastAsia"/>
          <w:color w:val="000000"/>
          <w:sz w:val="28"/>
        </w:rPr>
        <w:t>(</w:t>
      </w:r>
      <w:r>
        <w:rPr>
          <w:rFonts w:ascii="細明體" w:eastAsia="細明體" w:hAnsi="細明體" w:hint="eastAsia"/>
          <w:color w:val="000000"/>
          <w:sz w:val="28"/>
        </w:rPr>
        <w:t>單位</w:t>
      </w:r>
      <w:r>
        <w:rPr>
          <w:rFonts w:eastAsia="細明體"/>
          <w:color w:val="000000"/>
          <w:sz w:val="28"/>
        </w:rPr>
        <w:t>)</w:t>
      </w:r>
      <w:r>
        <w:rPr>
          <w:rFonts w:eastAsia="細明體" w:hint="eastAsia"/>
          <w:color w:val="000000"/>
          <w:sz w:val="28"/>
        </w:rPr>
        <w:t>與其</w:t>
      </w:r>
      <w:r>
        <w:rPr>
          <w:rFonts w:ascii="細明體" w:eastAsia="細明體" w:hAnsi="細明體" w:hint="eastAsia"/>
          <w:sz w:val="28"/>
        </w:rPr>
        <w:t>所屬使用者，</w:t>
      </w:r>
      <w:r>
        <w:rPr>
          <w:rFonts w:eastAsia="細明體" w:hint="eastAsia"/>
          <w:color w:val="000000"/>
          <w:sz w:val="28"/>
        </w:rPr>
        <w:t>適用本規範之規定</w:t>
      </w:r>
      <w:r>
        <w:rPr>
          <w:rFonts w:ascii="細明體" w:eastAsia="細明體" w:hAnsi="細明體" w:hint="eastAsia"/>
          <w:sz w:val="28"/>
        </w:rPr>
        <w:t>。</w:t>
      </w:r>
    </w:p>
    <w:p w:rsidR="00000000" w:rsidRDefault="007D3E37">
      <w:pPr>
        <w:spacing w:line="440" w:lineRule="exact"/>
        <w:ind w:left="1078" w:firstLine="2"/>
        <w:rPr>
          <w:rFonts w:ascii="細明體" w:eastAsia="細明體" w:hAnsi="細明體" w:hint="eastAsia"/>
          <w:color w:val="000000"/>
          <w:sz w:val="28"/>
        </w:rPr>
      </w:pPr>
      <w:r>
        <w:rPr>
          <w:rFonts w:ascii="細明體" w:eastAsia="細明體" w:hAnsi="細明體" w:hint="eastAsia"/>
          <w:color w:val="000000"/>
          <w:sz w:val="28"/>
        </w:rPr>
        <w:t>前項申請之學校、機構或個人，應負起管理與維護學術網路安全之責。</w:t>
      </w:r>
    </w:p>
    <w:p w:rsidR="00000000" w:rsidRDefault="007D3E37">
      <w:pPr>
        <w:spacing w:line="440" w:lineRule="exact"/>
        <w:ind w:left="1078" w:firstLine="2"/>
        <w:rPr>
          <w:rFonts w:ascii="細明體" w:eastAsia="細明體" w:hAnsi="細明體" w:hint="eastAsia"/>
          <w:sz w:val="28"/>
        </w:rPr>
      </w:pPr>
    </w:p>
    <w:p w:rsidR="00000000" w:rsidRDefault="007D3E37">
      <w:pPr>
        <w:spacing w:line="440" w:lineRule="exact"/>
        <w:ind w:left="1078" w:hanging="107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第三條</w:t>
      </w:r>
      <w:r>
        <w:rPr>
          <w:rFonts w:ascii="細明體" w:eastAsia="細明體" w:hAnsi="細明體" w:hint="eastAsia"/>
          <w:sz w:val="28"/>
        </w:rPr>
        <w:t xml:space="preserve">  </w:t>
      </w:r>
      <w:r>
        <w:rPr>
          <w:rFonts w:ascii="細明體" w:eastAsia="細明體" w:hAnsi="細明體" w:hint="eastAsia"/>
          <w:color w:val="000000"/>
          <w:sz w:val="28"/>
        </w:rPr>
        <w:t>學術</w:t>
      </w:r>
      <w:r>
        <w:rPr>
          <w:rFonts w:ascii="細明體" w:eastAsia="細明體" w:hAnsi="細明體" w:hint="eastAsia"/>
          <w:sz w:val="28"/>
        </w:rPr>
        <w:t>網路使用者應遵守</w:t>
      </w:r>
      <w:r>
        <w:rPr>
          <w:rFonts w:ascii="細明體" w:eastAsia="細明體" w:hAnsi="細明體" w:hint="eastAsia"/>
          <w:sz w:val="28"/>
        </w:rPr>
        <w:t>國家相關法令，並不得在學術網路上不當使用，散播具威脅性、猥褻性、不友善或其他不當資訊。</w:t>
      </w:r>
    </w:p>
    <w:p w:rsidR="00000000" w:rsidRDefault="007D3E37">
      <w:pPr>
        <w:spacing w:line="440" w:lineRule="exact"/>
        <w:ind w:left="108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前項不當資訊與不當使用之認定與審議要點另訂之。</w:t>
      </w:r>
    </w:p>
    <w:p w:rsidR="00000000" w:rsidRDefault="007D3E37">
      <w:pPr>
        <w:spacing w:line="440" w:lineRule="exact"/>
        <w:ind w:left="1080"/>
        <w:rPr>
          <w:rFonts w:ascii="細明體" w:eastAsia="細明體" w:hAnsi="細明體" w:hint="eastAsia"/>
          <w:sz w:val="28"/>
        </w:rPr>
      </w:pPr>
    </w:p>
    <w:p w:rsidR="00000000" w:rsidRDefault="007D3E37">
      <w:pPr>
        <w:spacing w:line="440" w:lineRule="exact"/>
        <w:ind w:left="1400" w:hanging="140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第四條</w:t>
      </w:r>
      <w:r>
        <w:rPr>
          <w:rFonts w:ascii="細明體" w:eastAsia="細明體" w:hAnsi="細明體" w:hint="eastAsia"/>
          <w:sz w:val="28"/>
        </w:rPr>
        <w:t xml:space="preserve">  </w:t>
      </w:r>
      <w:r>
        <w:rPr>
          <w:rFonts w:ascii="細明體" w:eastAsia="細明體" w:hAnsi="細明體" w:hint="eastAsia"/>
          <w:color w:val="000000"/>
          <w:sz w:val="28"/>
        </w:rPr>
        <w:t>學術</w:t>
      </w:r>
      <w:r>
        <w:rPr>
          <w:rFonts w:ascii="細明體" w:eastAsia="細明體" w:hAnsi="細明體" w:hint="eastAsia"/>
          <w:sz w:val="28"/>
        </w:rPr>
        <w:t>網路使用者不得為下列之行為：</w:t>
      </w:r>
    </w:p>
    <w:p w:rsidR="00000000" w:rsidRDefault="007D3E37">
      <w:pPr>
        <w:pStyle w:val="HTML"/>
        <w:snapToGrid w:val="0"/>
        <w:spacing w:line="420" w:lineRule="atLeast"/>
        <w:ind w:left="1618" w:hanging="538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一、</w:t>
      </w:r>
      <w:r>
        <w:rPr>
          <w:rFonts w:ascii="細明體" w:eastAsia="細明體"/>
          <w:sz w:val="28"/>
        </w:rPr>
        <w:t>無故輸入他人帳號密碼、破解使用電腦之保護措施或利用電腦系統之漏洞，而入侵他人之電腦或其相關設備。</w:t>
      </w:r>
    </w:p>
    <w:p w:rsidR="00000000" w:rsidRDefault="007D3E37">
      <w:pPr>
        <w:pStyle w:val="HTML"/>
        <w:snapToGrid w:val="0"/>
        <w:spacing w:line="420" w:lineRule="atLeast"/>
        <w:ind w:left="1618" w:hanging="538"/>
        <w:rPr>
          <w:rFonts w:eastAsia="細明體" w:hint="eastAsia"/>
          <w:sz w:val="28"/>
        </w:rPr>
      </w:pPr>
      <w:r>
        <w:rPr>
          <w:rFonts w:eastAsia="細明體" w:hint="eastAsia"/>
          <w:sz w:val="28"/>
        </w:rPr>
        <w:t>二、</w:t>
      </w:r>
      <w:r>
        <w:rPr>
          <w:rFonts w:eastAsia="細明體"/>
          <w:sz w:val="28"/>
        </w:rPr>
        <w:t>無故取得、刪除或變更他人電腦或其相關設備之電磁紀錄，致生損害於公眾或他人</w:t>
      </w:r>
      <w:r>
        <w:rPr>
          <w:rFonts w:eastAsia="細明體" w:hint="eastAsia"/>
          <w:sz w:val="28"/>
        </w:rPr>
        <w:t>。</w:t>
      </w:r>
    </w:p>
    <w:p w:rsidR="00000000" w:rsidRDefault="007D3E37">
      <w:pPr>
        <w:pStyle w:val="HTML"/>
        <w:snapToGrid w:val="0"/>
        <w:spacing w:line="420" w:lineRule="atLeast"/>
        <w:ind w:left="1618" w:hanging="538"/>
        <w:rPr>
          <w:rFonts w:ascii="細明體" w:eastAsia="細明體" w:hint="eastAsia"/>
          <w:sz w:val="28"/>
        </w:rPr>
      </w:pPr>
      <w:r>
        <w:rPr>
          <w:rFonts w:ascii="細明體" w:eastAsia="細明體" w:hint="eastAsia"/>
          <w:sz w:val="28"/>
        </w:rPr>
        <w:t>三、</w:t>
      </w:r>
      <w:r>
        <w:rPr>
          <w:rFonts w:ascii="細明體" w:eastAsia="細明體"/>
          <w:sz w:val="28"/>
        </w:rPr>
        <w:t>無故以電腦程式或其他電磁方式干擾他人電腦或其相關設備，致生損害於公眾或他人。</w:t>
      </w:r>
    </w:p>
    <w:p w:rsidR="00000000" w:rsidRDefault="007D3E37">
      <w:pPr>
        <w:snapToGrid w:val="0"/>
        <w:spacing w:line="420" w:lineRule="atLeast"/>
        <w:ind w:left="1681" w:hanging="560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四、以任何方式濫用網路資源，大量傳送電子垃圾郵件，致生影響</w:t>
      </w:r>
      <w:r>
        <w:rPr>
          <w:rFonts w:ascii="細明體" w:eastAsia="細明體" w:hAnsi="細明體" w:hint="eastAsia"/>
          <w:color w:val="000000"/>
          <w:sz w:val="28"/>
        </w:rPr>
        <w:t>學術</w:t>
      </w:r>
      <w:r>
        <w:rPr>
          <w:rFonts w:ascii="細明體" w:eastAsia="細明體" w:hAnsi="細明體" w:hint="eastAsia"/>
          <w:sz w:val="28"/>
        </w:rPr>
        <w:t>網路</w:t>
      </w:r>
      <w:r>
        <w:rPr>
          <w:rFonts w:ascii="細明體" w:eastAsia="細明體" w:hAnsi="細明體" w:hint="eastAsia"/>
          <w:sz w:val="28"/>
        </w:rPr>
        <w:t>系統之正常運作。</w:t>
      </w:r>
    </w:p>
    <w:p w:rsidR="00000000" w:rsidRDefault="007D3E37">
      <w:pPr>
        <w:snapToGrid w:val="0"/>
        <w:spacing w:line="440" w:lineRule="exact"/>
        <w:ind w:left="1681" w:hanging="560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五、以電子郵件、線上談話、電子佈告欄或其他類似功能之方法等網路應用，從事散布謠言、詐欺、誹謗、侮辱、猥褻、騷擾或違反社會善良風俗等訊息。</w:t>
      </w:r>
    </w:p>
    <w:p w:rsidR="00000000" w:rsidRDefault="007D3E37">
      <w:pPr>
        <w:snapToGrid w:val="0"/>
        <w:spacing w:line="440" w:lineRule="exact"/>
        <w:ind w:left="1078" w:firstLine="39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前項第五款有關網路應用之管理規範另訂之。</w:t>
      </w:r>
    </w:p>
    <w:p w:rsidR="00000000" w:rsidRDefault="007D3E37">
      <w:pPr>
        <w:snapToGrid w:val="0"/>
        <w:spacing w:line="440" w:lineRule="exact"/>
        <w:ind w:left="1078" w:firstLine="39"/>
        <w:jc w:val="both"/>
        <w:rPr>
          <w:rFonts w:ascii="細明體" w:eastAsia="細明體" w:hAnsi="細明體" w:hint="eastAsia"/>
          <w:sz w:val="28"/>
        </w:rPr>
      </w:pPr>
    </w:p>
    <w:p w:rsidR="00000000" w:rsidRDefault="007D3E37">
      <w:pPr>
        <w:spacing w:line="440" w:lineRule="exact"/>
        <w:ind w:left="1078" w:hanging="107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lastRenderedPageBreak/>
        <w:t>第五條</w:t>
      </w:r>
      <w:r>
        <w:rPr>
          <w:rFonts w:ascii="細明體" w:eastAsia="細明體" w:hAnsi="細明體" w:hint="eastAsia"/>
          <w:sz w:val="28"/>
        </w:rPr>
        <w:t xml:space="preserve">  </w:t>
      </w:r>
      <w:r>
        <w:rPr>
          <w:rFonts w:ascii="細明體" w:eastAsia="細明體" w:hAnsi="細明體" w:hint="eastAsia"/>
          <w:color w:val="000000"/>
          <w:sz w:val="28"/>
        </w:rPr>
        <w:t>學術</w:t>
      </w:r>
      <w:r>
        <w:rPr>
          <w:rFonts w:ascii="細明體" w:eastAsia="細明體" w:hAnsi="細明體" w:hint="eastAsia"/>
          <w:sz w:val="28"/>
        </w:rPr>
        <w:t>網路使用者應尊重智慧財產權，並避免下列可能涉及侵害智慧財產權之行為：</w:t>
      </w:r>
    </w:p>
    <w:p w:rsidR="00000000" w:rsidRDefault="007D3E37">
      <w:pPr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一、使用未經授權之電腦程式。</w:t>
      </w:r>
    </w:p>
    <w:p w:rsidR="00000000" w:rsidRDefault="007D3E37">
      <w:pPr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二、下載或重製受著作權法保護之著作。</w:t>
      </w:r>
    </w:p>
    <w:p w:rsidR="00000000" w:rsidRDefault="007D3E37">
      <w:pPr>
        <w:spacing w:line="440" w:lineRule="exact"/>
        <w:ind w:left="1681" w:hanging="56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三、未經著作權人之同意，將受保護之著作公開於網路上。</w:t>
      </w:r>
    </w:p>
    <w:p w:rsidR="00000000" w:rsidRDefault="007D3E37">
      <w:pPr>
        <w:spacing w:line="440" w:lineRule="exact"/>
        <w:ind w:left="1681" w:hanging="56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四、任意轉載電子佈告欄或其他線上討論區上之文章。</w:t>
      </w:r>
    </w:p>
    <w:p w:rsidR="00000000" w:rsidRDefault="007D3E37">
      <w:pPr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五、利用學術網路資源供他人或公眾下載學術性之著作。</w:t>
      </w:r>
    </w:p>
    <w:p w:rsidR="00000000" w:rsidRDefault="007D3E37">
      <w:pPr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noProof/>
          <w:sz w:val="28"/>
        </w:rPr>
        <w:t>六、</w:t>
      </w:r>
      <w:r>
        <w:rPr>
          <w:rFonts w:ascii="細明體" w:eastAsia="細明體" w:hAnsi="細明體" w:hint="eastAsia"/>
          <w:sz w:val="28"/>
        </w:rPr>
        <w:t>其他可能涉及侵害智慧財產權爭議之行為。</w:t>
      </w:r>
    </w:p>
    <w:p w:rsidR="00000000" w:rsidRDefault="007D3E37">
      <w:pPr>
        <w:spacing w:line="440" w:lineRule="exact"/>
        <w:ind w:left="1121"/>
        <w:rPr>
          <w:rFonts w:ascii="細明體" w:eastAsia="細明體" w:hAnsi="細明體" w:hint="eastAsia"/>
          <w:sz w:val="28"/>
        </w:rPr>
      </w:pPr>
    </w:p>
    <w:p w:rsidR="00000000" w:rsidRDefault="007D3E37">
      <w:pPr>
        <w:snapToGrid w:val="0"/>
        <w:spacing w:line="440" w:lineRule="exact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第六條</w:t>
      </w:r>
      <w:r>
        <w:rPr>
          <w:rFonts w:ascii="細明體" w:eastAsia="細明體" w:hAnsi="細明體" w:hint="eastAsia"/>
          <w:sz w:val="28"/>
        </w:rPr>
        <w:t xml:space="preserve">  </w:t>
      </w:r>
      <w:r>
        <w:rPr>
          <w:rFonts w:ascii="細明體" w:eastAsia="細明體" w:hAnsi="細明體" w:hint="eastAsia"/>
          <w:sz w:val="28"/>
        </w:rPr>
        <w:t>台灣學術網路管理組織分成三個層級，依序如下：</w:t>
      </w:r>
    </w:p>
    <w:p w:rsidR="00000000" w:rsidRDefault="007D3E37">
      <w:pPr>
        <w:spacing w:line="440" w:lineRule="exact"/>
        <w:ind w:left="3920" w:hanging="39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 xml:space="preserve">        </w:t>
      </w:r>
      <w:r>
        <w:rPr>
          <w:rFonts w:ascii="細明體" w:eastAsia="細明體" w:hAnsi="細明體" w:hint="eastAsia"/>
          <w:sz w:val="28"/>
        </w:rPr>
        <w:t>一、台灣學術網路管理委員會。</w:t>
      </w:r>
    </w:p>
    <w:p w:rsidR="00000000" w:rsidRDefault="007D3E37">
      <w:pPr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二、區域網路中心及縣市教育網路中心網路管理委員會。</w:t>
      </w:r>
    </w:p>
    <w:p w:rsidR="00000000" w:rsidRDefault="007D3E37">
      <w:pPr>
        <w:snapToGrid w:val="0"/>
        <w:spacing w:line="440" w:lineRule="exact"/>
        <w:ind w:left="1681" w:hanging="560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三、大專校院連線單位應設置相關網路管理委員會，其他連線學校或機構得視實際需要設置之。</w:t>
      </w:r>
    </w:p>
    <w:p w:rsidR="00000000" w:rsidRDefault="007D3E37">
      <w:pPr>
        <w:snapToGrid w:val="0"/>
        <w:spacing w:line="440" w:lineRule="exact"/>
        <w:ind w:left="1681" w:hanging="560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前項有關台灣</w:t>
      </w:r>
      <w:r>
        <w:rPr>
          <w:rFonts w:ascii="細明體" w:eastAsia="細明體" w:hAnsi="細明體" w:hint="eastAsia"/>
          <w:color w:val="000000"/>
          <w:sz w:val="28"/>
        </w:rPr>
        <w:t>學術</w:t>
      </w:r>
      <w:r>
        <w:rPr>
          <w:rFonts w:ascii="細明體" w:eastAsia="細明體" w:hAnsi="細明體" w:hint="eastAsia"/>
          <w:sz w:val="28"/>
        </w:rPr>
        <w:t>網路管理組織之章程另訂之。</w:t>
      </w:r>
    </w:p>
    <w:p w:rsidR="00000000" w:rsidRDefault="007D3E37">
      <w:pPr>
        <w:snapToGrid w:val="0"/>
        <w:spacing w:line="440" w:lineRule="exact"/>
        <w:ind w:left="1681" w:hanging="560"/>
        <w:jc w:val="both"/>
        <w:rPr>
          <w:rFonts w:ascii="細明體" w:eastAsia="細明體" w:hAnsi="細明體" w:hint="eastAsia"/>
          <w:sz w:val="28"/>
        </w:rPr>
      </w:pPr>
    </w:p>
    <w:p w:rsidR="00000000" w:rsidRDefault="007D3E37">
      <w:pPr>
        <w:spacing w:line="440" w:lineRule="exact"/>
        <w:ind w:left="1078" w:hanging="107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第七條</w:t>
      </w:r>
      <w:r>
        <w:rPr>
          <w:rFonts w:ascii="細明體" w:eastAsia="細明體" w:hAnsi="細明體" w:hint="eastAsia"/>
          <w:sz w:val="28"/>
        </w:rPr>
        <w:t xml:space="preserve">  </w:t>
      </w:r>
      <w:r>
        <w:rPr>
          <w:rFonts w:ascii="細明體" w:eastAsia="細明體" w:hAnsi="細明體" w:hint="eastAsia"/>
          <w:sz w:val="28"/>
        </w:rPr>
        <w:t>區域網路中心及縣市教育網路中心人員協助辦理下列事項：</w:t>
      </w:r>
    </w:p>
    <w:p w:rsidR="00000000" w:rsidRDefault="007D3E37">
      <w:pPr>
        <w:snapToGrid w:val="0"/>
        <w:spacing w:line="440" w:lineRule="exact"/>
        <w:ind w:left="1681" w:hanging="560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一、宣導網路使用之相關規範，並引導網路使用者正當使用</w:t>
      </w:r>
    </w:p>
    <w:p w:rsidR="00000000" w:rsidRDefault="007D3E37">
      <w:pPr>
        <w:snapToGrid w:val="0"/>
        <w:spacing w:line="440" w:lineRule="exact"/>
        <w:ind w:left="1682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資訊資源、重視網路相關法令及禮節。</w:t>
      </w:r>
    </w:p>
    <w:p w:rsidR="00000000" w:rsidRDefault="007D3E37">
      <w:pPr>
        <w:snapToGrid w:val="0"/>
        <w:spacing w:line="440" w:lineRule="exact"/>
        <w:ind w:left="1080"/>
        <w:jc w:val="both"/>
        <w:rPr>
          <w:rFonts w:ascii="細明體" w:eastAsia="細明體" w:hAnsi="細明體"/>
          <w:sz w:val="28"/>
        </w:rPr>
      </w:pPr>
      <w:r>
        <w:rPr>
          <w:rFonts w:ascii="細明體" w:eastAsia="細明體" w:hAnsi="細明體" w:hint="eastAsia"/>
          <w:sz w:val="28"/>
        </w:rPr>
        <w:t>二、採取適當之措施以維護網路安</w:t>
      </w:r>
      <w:r>
        <w:rPr>
          <w:rFonts w:ascii="細明體" w:eastAsia="細明體" w:hAnsi="細明體" w:hint="eastAsia"/>
          <w:sz w:val="28"/>
        </w:rPr>
        <w:t>全。</w:t>
      </w:r>
    </w:p>
    <w:p w:rsidR="00000000" w:rsidRDefault="007D3E37">
      <w:pPr>
        <w:snapToGrid w:val="0"/>
        <w:spacing w:line="440" w:lineRule="exact"/>
        <w:ind w:firstLine="1120"/>
        <w:jc w:val="both"/>
        <w:rPr>
          <w:rFonts w:ascii="細明體" w:eastAsia="細明體" w:hAnsi="細明體"/>
          <w:sz w:val="28"/>
        </w:rPr>
      </w:pPr>
      <w:r>
        <w:rPr>
          <w:rFonts w:ascii="細明體" w:eastAsia="細明體" w:hAnsi="細明體" w:hint="eastAsia"/>
          <w:sz w:val="28"/>
        </w:rPr>
        <w:t>三、對網路使用應為適當之區隔與管控。</w:t>
      </w:r>
    </w:p>
    <w:p w:rsidR="00000000" w:rsidRDefault="007D3E37">
      <w:pPr>
        <w:pStyle w:val="a4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>四、協助連線學校及機構處理相關網路問題。</w:t>
      </w:r>
    </w:p>
    <w:p w:rsidR="00000000" w:rsidRDefault="007D3E37">
      <w:pPr>
        <w:pStyle w:val="a4"/>
        <w:rPr>
          <w:rFonts w:ascii="細明體" w:eastAsia="細明體" w:hAnsi="細明體" w:hint="eastAsia"/>
        </w:rPr>
      </w:pPr>
    </w:p>
    <w:p w:rsidR="00000000" w:rsidRDefault="007D3E37">
      <w:pPr>
        <w:spacing w:line="440" w:lineRule="exact"/>
        <w:ind w:left="1078" w:hanging="107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第八條</w:t>
      </w:r>
      <w:r>
        <w:rPr>
          <w:rFonts w:ascii="細明體" w:eastAsia="細明體" w:hAnsi="細明體" w:hint="eastAsia"/>
          <w:sz w:val="28"/>
        </w:rPr>
        <w:t xml:space="preserve"> </w:t>
      </w:r>
      <w:r>
        <w:rPr>
          <w:rFonts w:ascii="細明體" w:eastAsia="細明體" w:hAnsi="細明體" w:hint="eastAsia"/>
          <w:sz w:val="28"/>
        </w:rPr>
        <w:t>有下列各款情形之一者，各級網路連線單位得中斷學術網路之使用：</w:t>
      </w:r>
    </w:p>
    <w:p w:rsidR="00000000" w:rsidRDefault="007D3E37">
      <w:pPr>
        <w:pStyle w:val="a3"/>
        <w:spacing w:line="440" w:lineRule="exact"/>
        <w:ind w:left="1619" w:hanging="49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一、更新、遷移網路設備，測試、維護或檢查網路及相關系統者。</w:t>
      </w:r>
    </w:p>
    <w:p w:rsidR="00000000" w:rsidRDefault="007D3E37">
      <w:pPr>
        <w:pStyle w:val="a3"/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二、不明原因非中斷不足以排除網路障礙者。</w:t>
      </w:r>
    </w:p>
    <w:p w:rsidR="00000000" w:rsidRDefault="007D3E37">
      <w:pPr>
        <w:pStyle w:val="a3"/>
        <w:spacing w:line="440" w:lineRule="exact"/>
        <w:ind w:left="1681" w:hanging="56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三、違反本規範之情事者。</w:t>
      </w:r>
    </w:p>
    <w:p w:rsidR="00000000" w:rsidRDefault="007D3E37">
      <w:pPr>
        <w:pStyle w:val="a3"/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四、涉及國家安全者。</w:t>
      </w:r>
    </w:p>
    <w:p w:rsidR="00000000" w:rsidRDefault="007D3E37">
      <w:pPr>
        <w:pStyle w:val="a3"/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五、為配合司法機關之調查者。</w:t>
      </w:r>
    </w:p>
    <w:p w:rsidR="00000000" w:rsidRDefault="007D3E37">
      <w:pPr>
        <w:pStyle w:val="a3"/>
        <w:spacing w:line="440" w:lineRule="exact"/>
        <w:ind w:firstLine="112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lastRenderedPageBreak/>
        <w:t>六、為阻斷不當或不法行為存續或擴散者。</w:t>
      </w:r>
    </w:p>
    <w:p w:rsidR="00000000" w:rsidRDefault="007D3E37">
      <w:pPr>
        <w:tabs>
          <w:tab w:val="left" w:pos="1440"/>
          <w:tab w:val="left" w:pos="1620"/>
        </w:tabs>
        <w:snapToGrid w:val="0"/>
        <w:spacing w:line="440" w:lineRule="exact"/>
        <w:ind w:left="1121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前項第一款、第二款得事先告知使用單位或使用者。</w:t>
      </w:r>
    </w:p>
    <w:p w:rsidR="00000000" w:rsidRDefault="007D3E37">
      <w:pPr>
        <w:tabs>
          <w:tab w:val="left" w:pos="1440"/>
          <w:tab w:val="left" w:pos="1620"/>
        </w:tabs>
        <w:snapToGrid w:val="0"/>
        <w:spacing w:line="440" w:lineRule="exact"/>
        <w:ind w:left="1121"/>
        <w:jc w:val="both"/>
        <w:rPr>
          <w:rFonts w:ascii="細明體" w:eastAsia="細明體" w:hAnsi="細明體" w:hint="eastAsia"/>
          <w:sz w:val="28"/>
        </w:rPr>
      </w:pPr>
    </w:p>
    <w:p w:rsidR="00000000" w:rsidRDefault="007D3E37">
      <w:pPr>
        <w:pStyle w:val="a3"/>
        <w:spacing w:line="440" w:lineRule="exact"/>
        <w:ind w:left="1078" w:hanging="1078"/>
        <w:rPr>
          <w:rFonts w:hint="eastAsia"/>
          <w:sz w:val="28"/>
        </w:rPr>
      </w:pPr>
      <w:r>
        <w:rPr>
          <w:rFonts w:hint="eastAsia"/>
          <w:sz w:val="28"/>
        </w:rPr>
        <w:t>第九條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基於</w:t>
      </w:r>
      <w:r>
        <w:rPr>
          <w:rFonts w:ascii="細明體" w:eastAsia="細明體" w:hAnsi="細明體" w:hint="eastAsia"/>
          <w:sz w:val="28"/>
        </w:rPr>
        <w:t>學術</w:t>
      </w:r>
      <w:r>
        <w:rPr>
          <w:rFonts w:hint="eastAsia"/>
          <w:sz w:val="28"/>
        </w:rPr>
        <w:t>網路之安全、管理與有效利用網路資源，網路</w:t>
      </w:r>
      <w:r>
        <w:rPr>
          <w:sz w:val="28"/>
        </w:rPr>
        <w:t>使用者</w:t>
      </w:r>
      <w:r>
        <w:rPr>
          <w:rFonts w:hint="eastAsia"/>
          <w:sz w:val="28"/>
        </w:rPr>
        <w:t>應提供必要的個人資料</w:t>
      </w:r>
      <w:r>
        <w:rPr>
          <w:rFonts w:hint="eastAsia"/>
          <w:sz w:val="28"/>
        </w:rPr>
        <w:t>給所屬網路管理單位。</w:t>
      </w:r>
    </w:p>
    <w:p w:rsidR="00000000" w:rsidRDefault="007D3E37">
      <w:pPr>
        <w:pStyle w:val="a3"/>
        <w:spacing w:line="440" w:lineRule="exact"/>
        <w:ind w:left="1078" w:firstLine="2"/>
        <w:rPr>
          <w:rFonts w:hint="eastAsia"/>
          <w:sz w:val="28"/>
        </w:rPr>
      </w:pPr>
      <w:r>
        <w:rPr>
          <w:rFonts w:hint="eastAsia"/>
          <w:sz w:val="28"/>
        </w:rPr>
        <w:t>前項</w:t>
      </w:r>
      <w:r>
        <w:rPr>
          <w:sz w:val="28"/>
        </w:rPr>
        <w:t>個人資料之蒐集</w:t>
      </w:r>
      <w:r>
        <w:rPr>
          <w:rFonts w:hint="eastAsia"/>
          <w:sz w:val="28"/>
        </w:rPr>
        <w:t>、</w:t>
      </w:r>
      <w:r>
        <w:rPr>
          <w:sz w:val="28"/>
        </w:rPr>
        <w:t>利用</w:t>
      </w:r>
      <w:r>
        <w:rPr>
          <w:rFonts w:hint="eastAsia"/>
          <w:sz w:val="28"/>
        </w:rPr>
        <w:t>與目的</w:t>
      </w:r>
      <w:r>
        <w:rPr>
          <w:sz w:val="28"/>
        </w:rPr>
        <w:t>，應</w:t>
      </w:r>
      <w:r>
        <w:rPr>
          <w:rFonts w:hint="eastAsia"/>
          <w:sz w:val="28"/>
        </w:rPr>
        <w:t>依「電腦處理個人資料保護法</w:t>
      </w:r>
      <w:r>
        <w:rPr>
          <w:sz w:val="28"/>
        </w:rPr>
        <w:t>」</w:t>
      </w:r>
      <w:r>
        <w:rPr>
          <w:rFonts w:hint="eastAsia"/>
          <w:sz w:val="28"/>
        </w:rPr>
        <w:t>規定為之。</w:t>
      </w:r>
    </w:p>
    <w:p w:rsidR="00000000" w:rsidRDefault="007D3E37">
      <w:pPr>
        <w:snapToGrid w:val="0"/>
        <w:spacing w:line="400" w:lineRule="atLeast"/>
        <w:rPr>
          <w:rFonts w:ascii="細明體" w:eastAsia="細明體" w:hAnsi="細明體" w:hint="eastAsia"/>
          <w:sz w:val="28"/>
        </w:rPr>
      </w:pPr>
    </w:p>
    <w:p w:rsidR="00000000" w:rsidRDefault="007D3E37">
      <w:pPr>
        <w:pStyle w:val="HTML"/>
        <w:snapToGrid w:val="0"/>
        <w:spacing w:line="400" w:lineRule="atLeast"/>
        <w:ind w:left="1078" w:hanging="107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第十條</w:t>
      </w:r>
      <w:r>
        <w:rPr>
          <w:rFonts w:ascii="細明體" w:eastAsia="細明體" w:hAnsi="細明體" w:hint="eastAsia"/>
          <w:sz w:val="28"/>
        </w:rPr>
        <w:t xml:space="preserve">  </w:t>
      </w:r>
      <w:r>
        <w:rPr>
          <w:rFonts w:ascii="細明體" w:eastAsia="細明體" w:hAnsi="細明體" w:hint="eastAsia"/>
          <w:sz w:val="28"/>
        </w:rPr>
        <w:t>學術網路使用者違反本規範之行為，依學校或機構處分規定為之。</w:t>
      </w:r>
    </w:p>
    <w:p w:rsidR="00000000" w:rsidRDefault="007D3E37">
      <w:pPr>
        <w:pStyle w:val="HTML"/>
        <w:snapToGrid w:val="0"/>
        <w:spacing w:line="400" w:lineRule="atLeast"/>
        <w:ind w:left="108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學術網路管理者利用職務之機會或方法，而違反本規範者須受處分。</w:t>
      </w:r>
      <w:r>
        <w:rPr>
          <w:rFonts w:ascii="細明體" w:eastAsia="細明體" w:hAnsi="細明體"/>
          <w:sz w:val="28"/>
        </w:rPr>
        <w:br/>
      </w:r>
      <w:r>
        <w:rPr>
          <w:rFonts w:ascii="細明體" w:eastAsia="細明體" w:hAnsi="細明體" w:hint="eastAsia"/>
          <w:sz w:val="28"/>
        </w:rPr>
        <w:t>前二項違規行為如涉及不法情事者，除了須受到行政處分外，還須負法律責任。有關因涉法受司法機關調查者，其配合司法調查之要點程序另訂之。</w:t>
      </w:r>
    </w:p>
    <w:p w:rsidR="00000000" w:rsidRDefault="007D3E37">
      <w:pPr>
        <w:pStyle w:val="HTML"/>
        <w:snapToGrid w:val="0"/>
        <w:spacing w:line="400" w:lineRule="atLeast"/>
        <w:ind w:left="1080"/>
        <w:rPr>
          <w:rFonts w:ascii="細明體" w:eastAsia="細明體" w:hAnsi="細明體" w:hint="eastAsia"/>
          <w:sz w:val="28"/>
        </w:rPr>
      </w:pPr>
    </w:p>
    <w:p w:rsidR="00000000" w:rsidRDefault="007D3E37">
      <w:pPr>
        <w:snapToGrid w:val="0"/>
        <w:spacing w:line="400" w:lineRule="atLeast"/>
        <w:ind w:left="1078" w:hanging="1078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第十一條</w:t>
      </w:r>
      <w:r>
        <w:rPr>
          <w:rFonts w:ascii="細明體" w:eastAsia="細明體" w:hAnsi="細明體" w:hint="eastAsia"/>
          <w:sz w:val="28"/>
        </w:rPr>
        <w:t xml:space="preserve"> </w:t>
      </w:r>
      <w:r>
        <w:rPr>
          <w:rFonts w:ascii="細明體" w:eastAsia="細明體" w:hAnsi="細明體" w:hint="eastAsia"/>
          <w:sz w:val="28"/>
        </w:rPr>
        <w:t>凡有下列情形之一者，具體事實而成效顯著，得為適當之獎勵：</w:t>
      </w:r>
    </w:p>
    <w:p w:rsidR="00000000" w:rsidRDefault="007D3E37">
      <w:pPr>
        <w:spacing w:line="440" w:lineRule="exact"/>
        <w:ind w:left="108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一、負責或協助網路安全維護工作者。</w:t>
      </w:r>
      <w:r>
        <w:rPr>
          <w:rFonts w:ascii="細明體" w:eastAsia="細明體" w:hAnsi="細明體"/>
          <w:sz w:val="28"/>
        </w:rPr>
        <w:br/>
      </w:r>
      <w:r>
        <w:rPr>
          <w:rFonts w:ascii="細明體" w:eastAsia="細明體" w:hAnsi="細明體" w:hint="eastAsia"/>
          <w:sz w:val="28"/>
        </w:rPr>
        <w:t>二、主動發覺或製作程式於改善網路安全漏洞或效</w:t>
      </w:r>
      <w:r>
        <w:rPr>
          <w:rFonts w:ascii="細明體" w:eastAsia="細明體" w:hAnsi="細明體" w:hint="eastAsia"/>
          <w:sz w:val="28"/>
        </w:rPr>
        <w:t>能者。</w:t>
      </w:r>
    </w:p>
    <w:p w:rsidR="00000000" w:rsidRDefault="007D3E37">
      <w:pPr>
        <w:spacing w:line="440" w:lineRule="exact"/>
        <w:ind w:left="1078" w:firstLine="2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三、檢舉或參與調查網路違規或違法者。</w:t>
      </w:r>
    </w:p>
    <w:p w:rsidR="00000000" w:rsidRDefault="007D3E37">
      <w:pPr>
        <w:spacing w:line="440" w:lineRule="exact"/>
        <w:ind w:left="1078" w:firstLine="2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四、推動網路計畫者。</w:t>
      </w:r>
      <w:r>
        <w:rPr>
          <w:rFonts w:ascii="細明體" w:eastAsia="細明體" w:hAnsi="細明體"/>
          <w:sz w:val="28"/>
        </w:rPr>
        <w:br/>
      </w:r>
      <w:r>
        <w:rPr>
          <w:rFonts w:ascii="細明體" w:eastAsia="細明體" w:hAnsi="細明體" w:hint="eastAsia"/>
          <w:sz w:val="28"/>
        </w:rPr>
        <w:t>五、承辦網路教育訓練或法令宣導者。</w:t>
      </w:r>
    </w:p>
    <w:p w:rsidR="00000000" w:rsidRDefault="007D3E37">
      <w:pPr>
        <w:spacing w:line="440" w:lineRule="exact"/>
        <w:ind w:left="1080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 w:hint="eastAsia"/>
          <w:sz w:val="28"/>
        </w:rPr>
        <w:t>六、其他有助於網路資通安全者。</w:t>
      </w:r>
    </w:p>
    <w:p w:rsidR="00000000" w:rsidRDefault="007D3E37">
      <w:pPr>
        <w:pStyle w:val="3"/>
        <w:rPr>
          <w:rFonts w:ascii="細明體" w:eastAsia="細明體" w:hAnsi="細明體" w:hint="eastAsia"/>
        </w:rPr>
      </w:pPr>
    </w:p>
    <w:p w:rsidR="00000000" w:rsidRDefault="007D3E37">
      <w:pPr>
        <w:snapToGrid w:val="0"/>
        <w:spacing w:line="440" w:lineRule="exact"/>
        <w:jc w:val="both"/>
        <w:rPr>
          <w:rFonts w:ascii="細明體" w:eastAsia="細明體" w:hAnsi="細明體"/>
          <w:sz w:val="28"/>
        </w:rPr>
      </w:pPr>
      <w:r>
        <w:rPr>
          <w:rFonts w:ascii="細明體" w:eastAsia="細明體" w:hAnsi="細明體" w:hint="eastAsia"/>
          <w:sz w:val="28"/>
        </w:rPr>
        <w:t>第十二條</w:t>
      </w:r>
      <w:r>
        <w:rPr>
          <w:rFonts w:ascii="細明體" w:eastAsia="細明體" w:hAnsi="細明體" w:hint="eastAsia"/>
          <w:sz w:val="28"/>
        </w:rPr>
        <w:t xml:space="preserve"> </w:t>
      </w:r>
      <w:r>
        <w:rPr>
          <w:rFonts w:ascii="細明體" w:eastAsia="細明體" w:hAnsi="細明體" w:hint="eastAsia"/>
          <w:sz w:val="28"/>
        </w:rPr>
        <w:t>本規範自公布日施行，修正時亦同。</w:t>
      </w:r>
    </w:p>
    <w:p w:rsidR="007D3E37" w:rsidRDefault="007D3E37">
      <w:pPr>
        <w:snapToGrid w:val="0"/>
        <w:spacing w:line="440" w:lineRule="exact"/>
        <w:jc w:val="both"/>
        <w:rPr>
          <w:rFonts w:ascii="細明體" w:eastAsia="細明體" w:hAnsi="細明體" w:hint="eastAsia"/>
          <w:sz w:val="28"/>
        </w:rPr>
      </w:pPr>
      <w:r>
        <w:rPr>
          <w:rFonts w:ascii="細明體" w:eastAsia="細明體" w:hAnsi="細明體"/>
          <w:sz w:val="28"/>
        </w:rPr>
        <w:br w:type="page"/>
      </w:r>
      <w:r w:rsidR="005C31F1">
        <w:rPr>
          <w:rFonts w:ascii="細明體" w:eastAsia="細明體" w:hAnsi="細明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-304800</wp:posOffset>
                </wp:positionV>
                <wp:extent cx="990600" cy="466090"/>
                <wp:effectExtent l="0" t="0" r="0" b="0"/>
                <wp:wrapNone/>
                <wp:docPr id="1" name="抄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E37">
                            <w:pPr>
                              <w:pStyle w:val="a7"/>
                              <w:spacing w:line="240" w:lineRule="auto"/>
                              <w:rPr>
                                <w:rFonts w:ascii="Times" w:hAnsi="Times"/>
                                <w:szCs w:val="40"/>
                              </w:rPr>
                            </w:pPr>
                            <w:r>
                              <w:rPr>
                                <w:rFonts w:ascii="Times" w:hAnsi="Times" w:hint="eastAsia"/>
                                <w:szCs w:val="4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pt;margin-top:-24pt;width:78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">
                <v:textbox inset="5pt,5pt,5pt,5pt">
                  <w:txbxContent>
                    <w:p w:rsidR="00000000" w:rsidRDefault="007D3E37">
                      <w:pPr>
                        <w:pStyle w:val="a7"/>
                        <w:spacing w:line="240" w:lineRule="auto"/>
                        <w:rPr>
                          <w:rFonts w:ascii="Times" w:hAnsi="Times"/>
                          <w:szCs w:val="40"/>
                        </w:rPr>
                      </w:pPr>
                      <w:r>
                        <w:rPr>
                          <w:rFonts w:ascii="Times" w:hAnsi="Times" w:hint="eastAsia"/>
                          <w:szCs w:val="4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3E3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37" w:rsidRDefault="007D3E37">
      <w:r>
        <w:separator/>
      </w:r>
    </w:p>
  </w:endnote>
  <w:endnote w:type="continuationSeparator" w:id="0">
    <w:p w:rsidR="007D3E37" w:rsidRDefault="007D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3E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7D3E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3E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1F1">
      <w:rPr>
        <w:rStyle w:val="a6"/>
        <w:noProof/>
      </w:rPr>
      <w:t>3</w:t>
    </w:r>
    <w:r>
      <w:rPr>
        <w:rStyle w:val="a6"/>
      </w:rPr>
      <w:fldChar w:fldCharType="end"/>
    </w:r>
  </w:p>
  <w:p w:rsidR="00000000" w:rsidRDefault="007D3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37" w:rsidRDefault="007D3E37">
      <w:r>
        <w:separator/>
      </w:r>
    </w:p>
  </w:footnote>
  <w:footnote w:type="continuationSeparator" w:id="0">
    <w:p w:rsidR="007D3E37" w:rsidRDefault="007D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E16"/>
    <w:multiLevelType w:val="hybridMultilevel"/>
    <w:tmpl w:val="EF982880"/>
    <w:lvl w:ilvl="0">
      <w:start w:val="1"/>
      <w:numFmt w:val="taiwaneseCountingThousand"/>
      <w:lvlText w:val="(%1)、"/>
      <w:lvlJc w:val="left"/>
      <w:pPr>
        <w:tabs>
          <w:tab w:val="num" w:pos="1047"/>
        </w:tabs>
        <w:ind w:left="1274" w:hanging="79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2690"/>
    <w:multiLevelType w:val="hybridMultilevel"/>
    <w:tmpl w:val="CD20CD2C"/>
    <w:lvl w:ilvl="0">
      <w:start w:val="1"/>
      <w:numFmt w:val="taiwaneseCountingThousand"/>
      <w:lvlText w:val="%1、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" w15:restartNumberingAfterBreak="0">
    <w:nsid w:val="15A75A7F"/>
    <w:multiLevelType w:val="hybridMultilevel"/>
    <w:tmpl w:val="E0BE6B26"/>
    <w:lvl w:ilvl="0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EF1538"/>
    <w:multiLevelType w:val="hybridMultilevel"/>
    <w:tmpl w:val="09009684"/>
    <w:lvl w:ilvl="0">
      <w:start w:val="4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7C6E84"/>
    <w:multiLevelType w:val="hybridMultilevel"/>
    <w:tmpl w:val="0BF2BB16"/>
    <w:lvl w:ilvl="0">
      <w:start w:val="1"/>
      <w:numFmt w:val="taiwaneseCountingThousand"/>
      <w:lvlText w:val="(%1)、"/>
      <w:lvlJc w:val="left"/>
      <w:pPr>
        <w:tabs>
          <w:tab w:val="num" w:pos="1047"/>
        </w:tabs>
        <w:ind w:left="1274" w:hanging="79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446F"/>
    <w:multiLevelType w:val="hybridMultilevel"/>
    <w:tmpl w:val="0ED417C6"/>
    <w:lvl w:ilvl="0">
      <w:start w:val="1"/>
      <w:numFmt w:val="taiwaneseCountingThousand"/>
      <w:lvlText w:val="(%1)、"/>
      <w:lvlJc w:val="left"/>
      <w:pPr>
        <w:tabs>
          <w:tab w:val="num" w:pos="1047"/>
        </w:tabs>
        <w:ind w:left="1274" w:hanging="79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61E71"/>
    <w:multiLevelType w:val="hybridMultilevel"/>
    <w:tmpl w:val="957AFCCE"/>
    <w:lvl w:ilvl="0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7" w15:restartNumberingAfterBreak="0">
    <w:nsid w:val="253B72C8"/>
    <w:multiLevelType w:val="hybridMultilevel"/>
    <w:tmpl w:val="7B90A0C4"/>
    <w:lvl w:ilvl="0">
      <w:start w:val="6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4E2241"/>
    <w:multiLevelType w:val="hybridMultilevel"/>
    <w:tmpl w:val="62CCBB2E"/>
    <w:lvl w:ilvl="0">
      <w:start w:val="1"/>
      <w:numFmt w:val="taiwaneseCountingThousand"/>
      <w:lvlText w:val="%1、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9" w15:restartNumberingAfterBreak="0">
    <w:nsid w:val="35CD338A"/>
    <w:multiLevelType w:val="hybridMultilevel"/>
    <w:tmpl w:val="D8466D14"/>
    <w:lvl w:ilvl="0">
      <w:start w:val="1"/>
      <w:numFmt w:val="taiwaneseCountingThousand"/>
      <w:lvlText w:val="第%1章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EB3466D"/>
    <w:multiLevelType w:val="hybridMultilevel"/>
    <w:tmpl w:val="D67CE2F8"/>
    <w:lvl w:ilvl="0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1" w15:restartNumberingAfterBreak="0">
    <w:nsid w:val="71424250"/>
    <w:multiLevelType w:val="hybridMultilevel"/>
    <w:tmpl w:val="5290D4E6"/>
    <w:lvl w:ilvl="0">
      <w:start w:val="6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1738CB"/>
    <w:multiLevelType w:val="hybridMultilevel"/>
    <w:tmpl w:val="7CF433AE"/>
    <w:lvl w:ilvl="0">
      <w:start w:val="1"/>
      <w:numFmt w:val="taiwaneseCountingThousand"/>
      <w:suff w:val="space"/>
      <w:lvlText w:val="第%1條"/>
      <w:lvlJc w:val="left"/>
      <w:pPr>
        <w:ind w:left="45" w:hanging="45"/>
      </w:pPr>
      <w:rPr>
        <w:rFonts w:ascii="細明體" w:eastAsia="細明體" w:hAnsi="細明體" w:hint="eastAsia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F1"/>
    <w:rsid w:val="005C31F1"/>
    <w:rsid w:val="007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36CA3-B025-46AC-B4C5-BCAFD2D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entury"/>
      <w:kern w:val="0"/>
      <w:sz w:val="20"/>
      <w:szCs w:val="20"/>
    </w:rPr>
  </w:style>
  <w:style w:type="paragraph" w:styleId="a3">
    <w:name w:val="Body Text"/>
    <w:basedOn w:val="a"/>
    <w:semiHidden/>
    <w:pPr>
      <w:snapToGrid w:val="0"/>
      <w:spacing w:line="220" w:lineRule="exact"/>
      <w:jc w:val="both"/>
    </w:pPr>
  </w:style>
  <w:style w:type="paragraph" w:styleId="2">
    <w:name w:val="Body Text 2"/>
    <w:basedOn w:val="a"/>
    <w:semiHidden/>
    <w:pPr>
      <w:spacing w:after="120" w:line="480" w:lineRule="auto"/>
    </w:pPr>
  </w:style>
  <w:style w:type="paragraph" w:styleId="a4">
    <w:name w:val="Body Text Indent"/>
    <w:basedOn w:val="a"/>
    <w:semiHidden/>
    <w:pPr>
      <w:tabs>
        <w:tab w:val="left" w:pos="1080"/>
        <w:tab w:val="left" w:pos="1260"/>
        <w:tab w:val="left" w:pos="1440"/>
        <w:tab w:val="left" w:pos="1620"/>
      </w:tabs>
      <w:snapToGrid w:val="0"/>
      <w:spacing w:line="440" w:lineRule="exact"/>
      <w:ind w:leftChars="467" w:left="1681" w:hangingChars="200" w:hanging="560"/>
      <w:jc w:val="both"/>
    </w:pPr>
    <w:rPr>
      <w:sz w:val="28"/>
      <w:szCs w:val="28"/>
    </w:rPr>
  </w:style>
  <w:style w:type="paragraph" w:styleId="20">
    <w:name w:val="Body Text Indent 2"/>
    <w:basedOn w:val="a"/>
    <w:semiHidden/>
    <w:pPr>
      <w:snapToGrid w:val="0"/>
      <w:spacing w:line="440" w:lineRule="exact"/>
      <w:ind w:leftChars="701" w:left="1682"/>
      <w:jc w:val="both"/>
    </w:pPr>
    <w:rPr>
      <w:sz w:val="28"/>
      <w:szCs w:val="28"/>
    </w:rPr>
  </w:style>
  <w:style w:type="paragraph" w:styleId="3">
    <w:name w:val="Body Text Indent 3"/>
    <w:basedOn w:val="a"/>
    <w:semiHidden/>
    <w:pPr>
      <w:snapToGrid w:val="0"/>
      <w:spacing w:line="440" w:lineRule="exact"/>
      <w:ind w:leftChars="524" w:left="1259" w:hanging="1"/>
      <w:jc w:val="both"/>
    </w:pPr>
    <w:rPr>
      <w:sz w:val="28"/>
      <w:szCs w:val="2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customStyle="1" w:styleId="a7">
    <w:name w:val="公告"/>
    <w:basedOn w:val="a"/>
    <w:pPr>
      <w:spacing w:line="360" w:lineRule="exact"/>
    </w:pPr>
    <w:rPr>
      <w:rFonts w:eastAsia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1387</Characters>
  <Application>Microsoft Office Word</Application>
  <DocSecurity>0</DocSecurity>
  <Lines>11</Lines>
  <Paragraphs>3</Paragraphs>
  <ScaleCrop>false</ScaleCrop>
  <Company> 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台灣學術網路規範草案大綱</dc:title>
  <dc:subject/>
  <dc:creator>葉芙榮</dc:creator>
  <cp:keywords/>
  <dc:description/>
  <cp:lastModifiedBy>葉芙榮</cp:lastModifiedBy>
  <cp:revision>2</cp:revision>
  <cp:lastPrinted>2004-05-12T03:46:00Z</cp:lastPrinted>
  <dcterms:created xsi:type="dcterms:W3CDTF">2017-07-13T03:49:00Z</dcterms:created>
  <dcterms:modified xsi:type="dcterms:W3CDTF">2017-07-13T03:49:00Z</dcterms:modified>
</cp:coreProperties>
</file>