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3220A">
      <w:pPr>
        <w:spacing w:line="520" w:lineRule="exact"/>
        <w:ind w:left="680" w:hanging="680"/>
        <w:rPr>
          <w:rFonts w:ascii="標楷體" w:eastAsia="標楷體" w:hint="eastAsia"/>
          <w:b/>
          <w:sz w:val="40"/>
        </w:rPr>
      </w:pPr>
      <w:bookmarkStart w:id="0" w:name="_GoBack"/>
      <w:bookmarkEnd w:id="0"/>
      <w:r>
        <w:rPr>
          <w:rFonts w:ascii="標楷體" w:eastAsia="標楷體" w:hint="eastAsia"/>
          <w:b/>
          <w:sz w:val="40"/>
        </w:rPr>
        <w:t>93</w:t>
      </w:r>
      <w:r>
        <w:rPr>
          <w:rFonts w:ascii="標楷體" w:eastAsia="標楷體" w:hint="eastAsia"/>
          <w:b/>
          <w:sz w:val="40"/>
        </w:rPr>
        <w:t>年度數據通信接取普及服務之優惠補助金額事宜</w:t>
      </w:r>
    </w:p>
    <w:p w:rsidR="00000000" w:rsidRDefault="0053220A">
      <w:pPr>
        <w:pStyle w:val="a"/>
        <w:numPr>
          <w:ilvl w:val="0"/>
          <w:numId w:val="0"/>
        </w:numPr>
        <w:spacing w:before="240" w:line="520" w:lineRule="exact"/>
        <w:ind w:left="1361" w:hanging="1361"/>
        <w:rPr>
          <w:rFonts w:hint="eastAsia"/>
          <w:b/>
        </w:rPr>
      </w:pPr>
      <w:r>
        <w:rPr>
          <w:rFonts w:hint="eastAsia"/>
          <w:b/>
        </w:rPr>
        <w:t>壹、緣由：</w:t>
      </w:r>
      <w:r>
        <w:rPr>
          <w:rFonts w:hint="eastAsia"/>
          <w:spacing w:val="20"/>
        </w:rPr>
        <w:t>為增進國民基本通信權益，使</w:t>
      </w:r>
      <w:r>
        <w:rPr>
          <w:rFonts w:hint="eastAsia"/>
        </w:rPr>
        <w:t>全體國民得按合理價格公平享有一定品質之必要電信服務，並配合推動國家資訊化社會政策之需要，爰依據八十八年再修正後之電信法第二十條第四項規定，建立電信普及服務制度，訂定電信普及服務管理辦法。</w:t>
      </w:r>
    </w:p>
    <w:p w:rsidR="00000000" w:rsidRDefault="0053220A">
      <w:pPr>
        <w:pStyle w:val="a"/>
        <w:numPr>
          <w:ilvl w:val="0"/>
          <w:numId w:val="0"/>
        </w:numPr>
        <w:spacing w:before="240" w:line="520" w:lineRule="exact"/>
        <w:rPr>
          <w:rFonts w:hint="eastAsia"/>
          <w:b/>
        </w:rPr>
      </w:pPr>
      <w:r>
        <w:rPr>
          <w:rFonts w:hint="eastAsia"/>
          <w:b/>
        </w:rPr>
        <w:t>貳、法源：電信普及服務管理辦法</w:t>
      </w:r>
      <w:r>
        <w:rPr>
          <w:rFonts w:hint="eastAsia"/>
          <w:b/>
        </w:rPr>
        <w:t xml:space="preserve">  </w:t>
      </w:r>
      <w:r>
        <w:rPr>
          <w:rFonts w:hint="eastAsia"/>
          <w:b/>
        </w:rPr>
        <w:t>第三章</w:t>
      </w:r>
      <w:r>
        <w:rPr>
          <w:rFonts w:hint="eastAsia"/>
          <w:b/>
        </w:rPr>
        <w:t xml:space="preserve"> </w:t>
      </w:r>
      <w:r>
        <w:rPr>
          <w:rFonts w:hint="eastAsia"/>
          <w:b/>
        </w:rPr>
        <w:t>數據通信接取普及服務</w:t>
      </w:r>
    </w:p>
    <w:p w:rsidR="00000000" w:rsidRDefault="0053220A">
      <w:pPr>
        <w:pStyle w:val="a"/>
        <w:numPr>
          <w:ilvl w:val="0"/>
          <w:numId w:val="0"/>
        </w:numPr>
        <w:spacing w:before="120" w:line="520" w:lineRule="exact"/>
        <w:ind w:left="1361" w:hanging="761"/>
        <w:rPr>
          <w:rFonts w:hint="eastAsia"/>
        </w:rPr>
      </w:pPr>
      <w:r>
        <w:rPr>
          <w:rFonts w:hint="eastAsia"/>
          <w:b/>
        </w:rPr>
        <w:t>第十五條</w:t>
      </w:r>
      <w:r>
        <w:rPr>
          <w:rFonts w:hint="eastAsia"/>
          <w:b/>
        </w:rPr>
        <w:t xml:space="preserve">  </w:t>
      </w:r>
      <w:r>
        <w:rPr>
          <w:rFonts w:hint="eastAsia"/>
        </w:rPr>
        <w:t>數據通信接取普及服務，係指經營者以優惠資費提供中小學校及公立圖書館連接網際網路所需之市內數據通信接取服務。</w:t>
      </w:r>
    </w:p>
    <w:p w:rsidR="00000000" w:rsidRDefault="0053220A">
      <w:pPr>
        <w:pStyle w:val="a5"/>
        <w:tabs>
          <w:tab w:val="left" w:pos="1440"/>
        </w:tabs>
        <w:snapToGrid w:val="0"/>
        <w:spacing w:before="120" w:line="520" w:lineRule="exact"/>
        <w:ind w:left="1361" w:firstLine="0"/>
        <w:rPr>
          <w:rFonts w:hint="eastAsia"/>
        </w:rPr>
      </w:pPr>
      <w:r>
        <w:rPr>
          <w:rFonts w:hint="eastAsia"/>
        </w:rPr>
        <w:t>前項中小學校指由政府機關核准設立之中小學校；公立圖書館指</w:t>
      </w:r>
      <w:r>
        <w:rPr>
          <w:rFonts w:hint="eastAsia"/>
        </w:rPr>
        <w:t>國家圖書館、省市立圖書館、縣市立圖書館及鄉鎮市立圖書館。</w:t>
      </w:r>
    </w:p>
    <w:p w:rsidR="00000000" w:rsidRDefault="0053220A">
      <w:pPr>
        <w:pStyle w:val="a"/>
        <w:numPr>
          <w:ilvl w:val="0"/>
          <w:numId w:val="0"/>
        </w:numPr>
        <w:spacing w:before="120" w:line="520" w:lineRule="exact"/>
        <w:ind w:left="1361" w:hanging="761"/>
        <w:rPr>
          <w:rFonts w:hint="eastAsia"/>
        </w:rPr>
      </w:pPr>
      <w:r>
        <w:rPr>
          <w:rFonts w:hint="eastAsia"/>
          <w:b/>
        </w:rPr>
        <w:t>第十六條</w:t>
      </w:r>
      <w:r>
        <w:rPr>
          <w:rFonts w:hint="eastAsia"/>
          <w:b/>
        </w:rPr>
        <w:t xml:space="preserve">  </w:t>
      </w:r>
      <w:r>
        <w:rPr>
          <w:rFonts w:hint="eastAsia"/>
        </w:rPr>
        <w:t>中小學校及公立圖書館連接網際網路時，得自行選擇合法之經營者，提供數據通信接取普及服務。</w:t>
      </w:r>
    </w:p>
    <w:p w:rsidR="00000000" w:rsidRDefault="0053220A">
      <w:pPr>
        <w:pStyle w:val="a"/>
        <w:numPr>
          <w:ilvl w:val="0"/>
          <w:numId w:val="0"/>
        </w:numPr>
        <w:spacing w:before="120" w:line="520" w:lineRule="exact"/>
        <w:ind w:left="1361" w:hanging="761"/>
        <w:rPr>
          <w:rFonts w:hint="eastAsia"/>
          <w:b/>
        </w:rPr>
      </w:pPr>
      <w:r>
        <w:rPr>
          <w:rFonts w:hint="eastAsia"/>
          <w:b/>
        </w:rPr>
        <w:t>第十七條</w:t>
      </w:r>
      <w:r>
        <w:rPr>
          <w:rFonts w:hint="eastAsia"/>
          <w:b/>
        </w:rPr>
        <w:t xml:space="preserve">  </w:t>
      </w:r>
      <w:r>
        <w:rPr>
          <w:rFonts w:hint="eastAsia"/>
        </w:rPr>
        <w:t>電信總局應於實施年度前一年十二月一日前，訂定公告數據通信接取普及服務之優惠補助金額。</w:t>
      </w:r>
    </w:p>
    <w:p w:rsidR="00000000" w:rsidRDefault="0053220A">
      <w:pPr>
        <w:pStyle w:val="a"/>
        <w:numPr>
          <w:ilvl w:val="0"/>
          <w:numId w:val="0"/>
        </w:numPr>
        <w:spacing w:before="120" w:line="520" w:lineRule="exact"/>
        <w:ind w:left="1361"/>
        <w:rPr>
          <w:rFonts w:hint="eastAsia"/>
          <w:b/>
        </w:rPr>
      </w:pPr>
      <w:r>
        <w:rPr>
          <w:rFonts w:hint="eastAsia"/>
        </w:rPr>
        <w:t>前項優惠補助之項目，以市內數據電路之月租費為限。</w:t>
      </w:r>
    </w:p>
    <w:p w:rsidR="00000000" w:rsidRDefault="0053220A">
      <w:pPr>
        <w:spacing w:line="520" w:lineRule="exact"/>
        <w:ind w:left="680" w:hanging="680"/>
        <w:rPr>
          <w:rFonts w:ascii="標楷體" w:eastAsia="標楷體" w:hint="eastAsia"/>
          <w:b/>
          <w:sz w:val="28"/>
        </w:rPr>
      </w:pPr>
      <w:r>
        <w:rPr>
          <w:rFonts w:ascii="標楷體" w:eastAsia="標楷體" w:hint="eastAsia"/>
          <w:b/>
          <w:sz w:val="28"/>
        </w:rPr>
        <w:t>參、注意事項</w:t>
      </w:r>
    </w:p>
    <w:p w:rsidR="00000000" w:rsidRDefault="0053220A">
      <w:pPr>
        <w:numPr>
          <w:ilvl w:val="0"/>
          <w:numId w:val="1"/>
        </w:numPr>
        <w:spacing w:before="120" w:line="520" w:lineRule="exact"/>
        <w:ind w:left="1281" w:hanging="680"/>
        <w:rPr>
          <w:rFonts w:ascii="標楷體" w:eastAsia="標楷體" w:hint="eastAsia"/>
          <w:sz w:val="28"/>
        </w:rPr>
      </w:pPr>
      <w:r>
        <w:rPr>
          <w:rFonts w:ascii="標楷體" w:eastAsia="標楷體" w:hint="eastAsia"/>
          <w:b/>
          <w:sz w:val="28"/>
        </w:rPr>
        <w:t>適用期間：</w:t>
      </w:r>
      <w:r>
        <w:rPr>
          <w:rFonts w:ascii="標楷體" w:eastAsia="標楷體" w:hint="eastAsia"/>
          <w:sz w:val="28"/>
        </w:rPr>
        <w:t>93</w:t>
      </w:r>
      <w:r>
        <w:rPr>
          <w:rFonts w:ascii="標楷體" w:eastAsia="標楷體" w:hint="eastAsia"/>
          <w:sz w:val="28"/>
        </w:rPr>
        <w:t>年</w:t>
      </w:r>
      <w:r>
        <w:rPr>
          <w:rFonts w:ascii="標楷體" w:eastAsia="標楷體" w:hint="eastAsia"/>
          <w:sz w:val="28"/>
        </w:rPr>
        <w:t>1</w:t>
      </w:r>
      <w:r>
        <w:rPr>
          <w:rFonts w:ascii="標楷體" w:eastAsia="標楷體" w:hint="eastAsia"/>
          <w:sz w:val="28"/>
        </w:rPr>
        <w:t>月至</w:t>
      </w:r>
      <w:r>
        <w:rPr>
          <w:rFonts w:ascii="標楷體" w:eastAsia="標楷體" w:hint="eastAsia"/>
          <w:sz w:val="28"/>
        </w:rPr>
        <w:t>93</w:t>
      </w:r>
      <w:r>
        <w:rPr>
          <w:rFonts w:ascii="標楷體" w:eastAsia="標楷體" w:hint="eastAsia"/>
          <w:sz w:val="28"/>
        </w:rPr>
        <w:t>年</w:t>
      </w:r>
      <w:r>
        <w:rPr>
          <w:rFonts w:ascii="標楷體" w:eastAsia="標楷體" w:hint="eastAsia"/>
          <w:sz w:val="28"/>
        </w:rPr>
        <w:t>12</w:t>
      </w:r>
      <w:r>
        <w:rPr>
          <w:rFonts w:ascii="標楷體" w:eastAsia="標楷體" w:hint="eastAsia"/>
          <w:sz w:val="28"/>
        </w:rPr>
        <w:t>月（</w:t>
      </w:r>
      <w:r>
        <w:rPr>
          <w:rFonts w:ascii="標楷體" w:eastAsia="標楷體" w:hint="eastAsia"/>
          <w:b/>
          <w:sz w:val="28"/>
        </w:rPr>
        <w:t>＊</w:t>
      </w:r>
      <w:r>
        <w:rPr>
          <w:rFonts w:ascii="標楷體" w:eastAsia="標楷體" w:hint="eastAsia"/>
          <w:sz w:val="28"/>
        </w:rPr>
        <w:t>電信總局</w:t>
      </w:r>
      <w:r>
        <w:rPr>
          <w:rFonts w:ascii="標楷體" w:eastAsia="標楷體" w:hint="eastAsia"/>
          <w:b/>
          <w:sz w:val="28"/>
          <w:u w:val="single"/>
        </w:rPr>
        <w:t>每年</w:t>
      </w:r>
      <w:r>
        <w:rPr>
          <w:rFonts w:ascii="標楷體" w:eastAsia="標楷體" w:hint="eastAsia"/>
          <w:sz w:val="28"/>
        </w:rPr>
        <w:t>12</w:t>
      </w:r>
      <w:r>
        <w:rPr>
          <w:rFonts w:ascii="標楷體" w:eastAsia="標楷體" w:hint="eastAsia"/>
          <w:sz w:val="28"/>
        </w:rPr>
        <w:t>月</w:t>
      </w:r>
      <w:r>
        <w:rPr>
          <w:rFonts w:ascii="標楷體" w:eastAsia="標楷體" w:hint="eastAsia"/>
          <w:sz w:val="28"/>
        </w:rPr>
        <w:t>1</w:t>
      </w:r>
      <w:r>
        <w:rPr>
          <w:rFonts w:ascii="標楷體" w:eastAsia="標楷體" w:hint="eastAsia"/>
          <w:sz w:val="28"/>
        </w:rPr>
        <w:t>日前，</w:t>
      </w:r>
      <w:r>
        <w:rPr>
          <w:rFonts w:ascii="標楷體" w:eastAsia="標楷體" w:hint="eastAsia"/>
          <w:b/>
          <w:sz w:val="28"/>
          <w:u w:val="single"/>
        </w:rPr>
        <w:t>公告次年</w:t>
      </w:r>
      <w:r>
        <w:rPr>
          <w:rFonts w:ascii="標楷體" w:eastAsia="標楷體" w:hint="eastAsia"/>
          <w:sz w:val="28"/>
        </w:rPr>
        <w:t>數據通信優惠補助金額方式及上限）。</w:t>
      </w:r>
    </w:p>
    <w:p w:rsidR="00000000" w:rsidRDefault="0053220A">
      <w:pPr>
        <w:numPr>
          <w:ilvl w:val="0"/>
          <w:numId w:val="1"/>
        </w:numPr>
        <w:spacing w:before="120" w:line="520" w:lineRule="exact"/>
        <w:ind w:left="1281" w:hanging="680"/>
        <w:rPr>
          <w:rFonts w:ascii="標楷體" w:eastAsia="標楷體" w:hint="eastAsia"/>
          <w:b/>
          <w:sz w:val="28"/>
        </w:rPr>
      </w:pPr>
      <w:r>
        <w:rPr>
          <w:rFonts w:ascii="標楷體" w:eastAsia="標楷體" w:hint="eastAsia"/>
          <w:b/>
          <w:sz w:val="28"/>
        </w:rPr>
        <w:t>適用對象：</w:t>
      </w:r>
      <w:r>
        <w:rPr>
          <w:rFonts w:ascii="標楷體" w:eastAsia="標楷體" w:hint="eastAsia"/>
          <w:sz w:val="28"/>
        </w:rPr>
        <w:t>高中、高職、國中、國小、公立圖書館</w:t>
      </w:r>
      <w:r>
        <w:rPr>
          <w:rFonts w:ascii="標楷體" w:eastAsia="標楷體" w:hint="eastAsia"/>
          <w:b/>
          <w:sz w:val="28"/>
        </w:rPr>
        <w:t>。</w:t>
      </w:r>
    </w:p>
    <w:p w:rsidR="00000000" w:rsidRDefault="0053220A">
      <w:pPr>
        <w:numPr>
          <w:ilvl w:val="0"/>
          <w:numId w:val="1"/>
        </w:numPr>
        <w:spacing w:before="120" w:line="520" w:lineRule="exact"/>
        <w:ind w:left="1281" w:hanging="680"/>
        <w:rPr>
          <w:rFonts w:ascii="標楷體" w:eastAsia="標楷體" w:hint="eastAsia"/>
          <w:b/>
          <w:sz w:val="28"/>
        </w:rPr>
      </w:pPr>
      <w:r>
        <w:rPr>
          <w:rFonts w:ascii="標楷體" w:eastAsia="標楷體" w:hint="eastAsia"/>
          <w:b/>
          <w:sz w:val="28"/>
        </w:rPr>
        <w:t>優惠補助項目：</w:t>
      </w:r>
      <w:r>
        <w:rPr>
          <w:rFonts w:ascii="標楷體" w:eastAsia="標楷體" w:hint="eastAsia"/>
          <w:b/>
          <w:sz w:val="28"/>
          <w:u w:val="single"/>
        </w:rPr>
        <w:t>市內數據電路之月租費</w:t>
      </w:r>
      <w:r>
        <w:rPr>
          <w:rFonts w:ascii="標楷體" w:eastAsia="標楷體" w:hint="eastAsia"/>
          <w:b/>
          <w:sz w:val="28"/>
        </w:rPr>
        <w:t>。</w:t>
      </w:r>
    </w:p>
    <w:p w:rsidR="00000000" w:rsidRDefault="0053220A">
      <w:pPr>
        <w:numPr>
          <w:ilvl w:val="0"/>
          <w:numId w:val="1"/>
        </w:numPr>
        <w:spacing w:before="120" w:line="520" w:lineRule="exact"/>
        <w:ind w:left="1281" w:hanging="680"/>
        <w:rPr>
          <w:rFonts w:ascii="標楷體" w:eastAsia="標楷體" w:hint="eastAsia"/>
          <w:b/>
          <w:sz w:val="28"/>
        </w:rPr>
      </w:pPr>
      <w:r>
        <w:rPr>
          <w:rFonts w:ascii="標楷體" w:eastAsia="標楷體" w:hint="eastAsia"/>
          <w:b/>
          <w:sz w:val="28"/>
        </w:rPr>
        <w:t>合法提供數據膯信普及服務之經營者：</w:t>
      </w:r>
      <w:r>
        <w:rPr>
          <w:rFonts w:ascii="標楷體" w:eastAsia="標楷體" w:hint="eastAsia"/>
          <w:sz w:val="28"/>
        </w:rPr>
        <w:t>中華電信公司、新世紀資通公司、台灣固網公司、東森寬頻電信公司</w:t>
      </w:r>
      <w:r>
        <w:rPr>
          <w:rFonts w:ascii="標楷體" w:eastAsia="標楷體" w:hint="eastAsia"/>
          <w:b/>
          <w:sz w:val="28"/>
        </w:rPr>
        <w:t xml:space="preserve"> </w:t>
      </w:r>
      <w:r>
        <w:rPr>
          <w:rFonts w:ascii="標楷體" w:eastAsia="標楷體" w:hint="eastAsia"/>
          <w:b/>
          <w:sz w:val="28"/>
        </w:rPr>
        <w:t>。</w:t>
      </w:r>
    </w:p>
    <w:p w:rsidR="00000000" w:rsidRDefault="0053220A">
      <w:pPr>
        <w:numPr>
          <w:ilvl w:val="0"/>
          <w:numId w:val="1"/>
        </w:numPr>
        <w:spacing w:before="120" w:line="520" w:lineRule="exact"/>
        <w:ind w:left="1281" w:hanging="680"/>
        <w:rPr>
          <w:rFonts w:ascii="標楷體" w:eastAsia="標楷體" w:hint="eastAsia"/>
          <w:sz w:val="28"/>
        </w:rPr>
      </w:pPr>
      <w:r>
        <w:rPr>
          <w:rFonts w:ascii="標楷體" w:eastAsia="標楷體" w:hint="eastAsia"/>
          <w:sz w:val="28"/>
        </w:rPr>
        <w:t>學校或公立圖書館</w:t>
      </w:r>
      <w:r>
        <w:rPr>
          <w:rFonts w:ascii="標楷體" w:eastAsia="標楷體" w:hint="eastAsia"/>
          <w:b/>
          <w:sz w:val="28"/>
          <w:u w:val="single"/>
        </w:rPr>
        <w:t>僅能</w:t>
      </w:r>
      <w:r>
        <w:rPr>
          <w:rFonts w:ascii="標楷體" w:eastAsia="標楷體" w:hint="eastAsia"/>
          <w:sz w:val="28"/>
        </w:rPr>
        <w:t>向以上四家固網經營者中，任何一家申請</w:t>
      </w:r>
      <w:r>
        <w:rPr>
          <w:rFonts w:ascii="標楷體" w:eastAsia="標楷體" w:hint="eastAsia"/>
          <w:sz w:val="28"/>
        </w:rPr>
        <w:lastRenderedPageBreak/>
        <w:t>租用，方能獲得優惠補助。</w:t>
      </w:r>
    </w:p>
    <w:p w:rsidR="00000000" w:rsidRDefault="0053220A">
      <w:pPr>
        <w:numPr>
          <w:ilvl w:val="0"/>
          <w:numId w:val="1"/>
        </w:numPr>
        <w:spacing w:before="120" w:line="520" w:lineRule="exact"/>
        <w:ind w:left="1281" w:hanging="680"/>
        <w:rPr>
          <w:rFonts w:ascii="標楷體" w:eastAsia="標楷體" w:hint="eastAsia"/>
          <w:sz w:val="28"/>
        </w:rPr>
      </w:pPr>
      <w:r>
        <w:rPr>
          <w:rFonts w:ascii="標楷體" w:eastAsia="標楷體" w:hint="eastAsia"/>
          <w:b/>
          <w:sz w:val="28"/>
          <w:u w:val="single"/>
        </w:rPr>
        <w:t>經營者應主動提供優惠資費予學校或公立圖書館；學校或公立圖書館只需檢查每月帳單，是否獲得公告內容之優惠金額。若否，學校或公立圖書館應請經營者依公告優惠內容更正之。</w:t>
      </w:r>
    </w:p>
    <w:p w:rsidR="00000000" w:rsidRDefault="0053220A">
      <w:pPr>
        <w:numPr>
          <w:ilvl w:val="0"/>
          <w:numId w:val="1"/>
        </w:numPr>
        <w:spacing w:before="120" w:line="520" w:lineRule="exact"/>
        <w:ind w:left="1281" w:hanging="680"/>
        <w:rPr>
          <w:rFonts w:ascii="標楷體" w:eastAsia="標楷體" w:hint="eastAsia"/>
          <w:sz w:val="28"/>
        </w:rPr>
      </w:pPr>
      <w:r>
        <w:rPr>
          <w:rFonts w:ascii="標楷體" w:eastAsia="標楷體" w:hint="eastAsia"/>
          <w:sz w:val="28"/>
        </w:rPr>
        <w:t>適用對象為獲得進一步相關資訊，請參考</w:t>
      </w:r>
      <w:r>
        <w:rPr>
          <w:rFonts w:ascii="標楷體" w:eastAsia="標楷體" w:hint="eastAsia"/>
          <w:b/>
          <w:sz w:val="28"/>
          <w:u w:val="single"/>
        </w:rPr>
        <w:t>電信總局網站</w:t>
      </w:r>
      <w:r>
        <w:rPr>
          <w:rFonts w:ascii="標楷體" w:eastAsia="標楷體" w:hint="eastAsia"/>
          <w:b/>
          <w:sz w:val="28"/>
          <w:u w:val="single"/>
        </w:rPr>
        <w:t>www.dgt.gov.tw</w:t>
      </w:r>
      <w:r>
        <w:rPr>
          <w:rFonts w:ascii="標楷體" w:eastAsia="標楷體" w:hint="eastAsia"/>
          <w:b/>
          <w:sz w:val="28"/>
          <w:u w:val="single"/>
        </w:rPr>
        <w:t>，</w:t>
      </w:r>
      <w:r>
        <w:rPr>
          <w:rFonts w:ascii="標楷體" w:eastAsia="標楷體" w:hint="eastAsia"/>
          <w:sz w:val="28"/>
        </w:rPr>
        <w:t>左邊第七項之「電信普及服務」網頁專區。</w:t>
      </w:r>
    </w:p>
    <w:p w:rsidR="00000000" w:rsidRDefault="0053220A">
      <w:pPr>
        <w:numPr>
          <w:ilvl w:val="0"/>
          <w:numId w:val="2"/>
        </w:numPr>
        <w:spacing w:before="120" w:line="520" w:lineRule="exact"/>
        <w:ind w:left="1701" w:hanging="907"/>
        <w:rPr>
          <w:rFonts w:ascii="標楷體" w:eastAsia="標楷體" w:hint="eastAsia"/>
          <w:sz w:val="28"/>
        </w:rPr>
      </w:pPr>
      <w:r>
        <w:rPr>
          <w:rFonts w:ascii="標楷體" w:eastAsia="標楷體" w:hint="eastAsia"/>
          <w:b/>
          <w:sz w:val="28"/>
        </w:rPr>
        <w:t>法規：</w:t>
      </w:r>
      <w:r>
        <w:rPr>
          <w:rFonts w:ascii="標楷體" w:eastAsia="標楷體" w:hint="eastAsia"/>
          <w:sz w:val="28"/>
        </w:rPr>
        <w:t>「電信普及服務管理辦法」第三章第十五條至第</w:t>
      </w:r>
      <w:r>
        <w:rPr>
          <w:rFonts w:ascii="標楷體" w:eastAsia="標楷體" w:hint="eastAsia"/>
          <w:sz w:val="28"/>
        </w:rPr>
        <w:t>十七條。</w:t>
      </w:r>
    </w:p>
    <w:p w:rsidR="00000000" w:rsidRDefault="0053220A">
      <w:pPr>
        <w:numPr>
          <w:ilvl w:val="0"/>
          <w:numId w:val="2"/>
        </w:numPr>
        <w:spacing w:before="120" w:line="520" w:lineRule="exact"/>
        <w:ind w:left="1701" w:hanging="907"/>
        <w:rPr>
          <w:rFonts w:ascii="標楷體" w:eastAsia="標楷體" w:hint="eastAsia"/>
          <w:sz w:val="28"/>
        </w:rPr>
      </w:pPr>
      <w:r>
        <w:rPr>
          <w:rFonts w:ascii="標楷體" w:eastAsia="標楷體" w:hint="eastAsia"/>
          <w:b/>
          <w:sz w:val="28"/>
        </w:rPr>
        <w:t>公告：</w:t>
      </w:r>
      <w:r>
        <w:rPr>
          <w:rFonts w:ascii="標楷體" w:eastAsia="標楷體" w:hint="eastAsia"/>
          <w:sz w:val="28"/>
        </w:rPr>
        <w:t>歷年數據通信接取普及服務補助方式及金額。</w:t>
      </w:r>
    </w:p>
    <w:p w:rsidR="00000000" w:rsidRDefault="0053220A">
      <w:pPr>
        <w:spacing w:before="120" w:line="520" w:lineRule="exact"/>
        <w:rPr>
          <w:rFonts w:ascii="標楷體" w:eastAsia="標楷體" w:hint="eastAsia"/>
          <w:b/>
          <w:sz w:val="28"/>
        </w:rPr>
      </w:pPr>
      <w:r>
        <w:rPr>
          <w:rFonts w:ascii="標楷體" w:eastAsia="標楷體" w:hint="eastAsia"/>
          <w:b/>
          <w:sz w:val="28"/>
        </w:rPr>
        <w:t>肆、宣導事項</w:t>
      </w:r>
    </w:p>
    <w:p w:rsidR="00000000" w:rsidRDefault="0053220A">
      <w:pPr>
        <w:numPr>
          <w:ilvl w:val="0"/>
          <w:numId w:val="9"/>
        </w:numPr>
        <w:spacing w:before="120" w:line="520" w:lineRule="exact"/>
        <w:ind w:left="1247" w:hanging="680"/>
        <w:rPr>
          <w:rFonts w:eastAsia="標楷體" w:hint="eastAsia"/>
          <w:b/>
          <w:sz w:val="28"/>
        </w:rPr>
      </w:pPr>
      <w:r>
        <w:rPr>
          <w:rFonts w:ascii="標楷體" w:eastAsia="標楷體" w:hint="eastAsia"/>
          <w:b/>
          <w:sz w:val="28"/>
          <w:u w:val="single"/>
        </w:rPr>
        <w:t>為使前揭數據通信接取普及服務補助之公告，能讓適用對象「</w:t>
      </w:r>
      <w:r>
        <w:rPr>
          <w:rFonts w:eastAsia="標楷體" w:hint="eastAsia"/>
          <w:b/>
          <w:sz w:val="28"/>
          <w:u w:val="single"/>
        </w:rPr>
        <w:t>中小學校及公立圖書館</w:t>
      </w:r>
      <w:r>
        <w:rPr>
          <w:rFonts w:ascii="標楷體" w:eastAsia="標楷體" w:hint="eastAsia"/>
          <w:b/>
          <w:sz w:val="28"/>
          <w:u w:val="single"/>
        </w:rPr>
        <w:t>」</w:t>
      </w:r>
      <w:r>
        <w:rPr>
          <w:rFonts w:eastAsia="標楷體" w:hint="eastAsia"/>
          <w:b/>
          <w:sz w:val="28"/>
          <w:u w:val="single"/>
        </w:rPr>
        <w:t>清楚明白，希望透過其主管機關宣達。</w:t>
      </w:r>
    </w:p>
    <w:p w:rsidR="0053220A" w:rsidRDefault="0053220A">
      <w:pPr>
        <w:numPr>
          <w:ilvl w:val="0"/>
          <w:numId w:val="9"/>
        </w:numPr>
        <w:spacing w:before="120" w:line="520" w:lineRule="exact"/>
        <w:ind w:left="1247" w:hanging="680"/>
        <w:rPr>
          <w:rFonts w:ascii="標楷體" w:eastAsia="標楷體" w:hint="eastAsia"/>
          <w:sz w:val="28"/>
        </w:rPr>
      </w:pPr>
      <w:r>
        <w:rPr>
          <w:rFonts w:ascii="標楷體" w:eastAsia="標楷體" w:hint="eastAsia"/>
          <w:sz w:val="28"/>
        </w:rPr>
        <w:t>查「</w:t>
      </w:r>
      <w:r>
        <w:rPr>
          <w:rFonts w:eastAsia="標楷體" w:hint="eastAsia"/>
          <w:sz w:val="28"/>
        </w:rPr>
        <w:t>中小學校及公立圖書館</w:t>
      </w:r>
      <w:r>
        <w:rPr>
          <w:rFonts w:ascii="標楷體" w:eastAsia="標楷體" w:hint="eastAsia"/>
          <w:sz w:val="28"/>
        </w:rPr>
        <w:t>」租用市內數據電路，其費用之繳納方式分為：學校自行支付、區網中心或縣網中心統一支付、教育部社教司支付（國家圖書館）、文建會（國中小學圖書館）、縣文化局支付（縣立圖書館）、縣教育局支付（縣立圖書館）及鄉鎮公所（鄉鎮圖書館）‧‧‧‧‧等，十分複雜，致有些學校或圖書館並不清楚是否適用或如何適用前揭公告。期透過</w:t>
      </w:r>
      <w:r>
        <w:rPr>
          <w:rFonts w:ascii="標楷體" w:eastAsia="標楷體" w:hint="eastAsia"/>
          <w:sz w:val="28"/>
        </w:rPr>
        <w:t>各主管機關宣導，俾利達成政府政策美意。</w:t>
      </w:r>
    </w:p>
    <w:sectPr w:rsidR="0053220A">
      <w:pgSz w:w="11906" w:h="16838" w:code="9"/>
      <w:pgMar w:top="1588"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39EA"/>
    <w:multiLevelType w:val="singleLevel"/>
    <w:tmpl w:val="28D60C64"/>
    <w:lvl w:ilvl="0">
      <w:start w:val="3"/>
      <w:numFmt w:val="taiwaneseCountingThousand"/>
      <w:lvlText w:val="第%1條"/>
      <w:lvlJc w:val="left"/>
      <w:pPr>
        <w:tabs>
          <w:tab w:val="num" w:pos="1395"/>
        </w:tabs>
        <w:ind w:left="1395" w:hanging="1395"/>
      </w:pPr>
      <w:rPr>
        <w:rFonts w:hint="eastAsia"/>
      </w:rPr>
    </w:lvl>
  </w:abstractNum>
  <w:abstractNum w:abstractNumId="1" w15:restartNumberingAfterBreak="0">
    <w:nsid w:val="131B2763"/>
    <w:multiLevelType w:val="singleLevel"/>
    <w:tmpl w:val="5E1E3B04"/>
    <w:lvl w:ilvl="0">
      <w:start w:val="1"/>
      <w:numFmt w:val="taiwaneseCountingThousand"/>
      <w:lvlText w:val="（%1）"/>
      <w:lvlJc w:val="left"/>
      <w:pPr>
        <w:tabs>
          <w:tab w:val="num" w:pos="795"/>
        </w:tabs>
        <w:ind w:left="795" w:hanging="795"/>
      </w:pPr>
      <w:rPr>
        <w:rFonts w:hint="eastAsia"/>
      </w:rPr>
    </w:lvl>
  </w:abstractNum>
  <w:abstractNum w:abstractNumId="2" w15:restartNumberingAfterBreak="0">
    <w:nsid w:val="2D926945"/>
    <w:multiLevelType w:val="singleLevel"/>
    <w:tmpl w:val="A3EE623C"/>
    <w:lvl w:ilvl="0">
      <w:start w:val="1"/>
      <w:numFmt w:val="taiwaneseCountingThousand"/>
      <w:lvlText w:val="%1、"/>
      <w:lvlJc w:val="left"/>
      <w:pPr>
        <w:tabs>
          <w:tab w:val="num" w:pos="1122"/>
        </w:tabs>
        <w:ind w:left="1122" w:hanging="555"/>
      </w:pPr>
      <w:rPr>
        <w:rFonts w:ascii="標楷體" w:hint="eastAsia"/>
      </w:rPr>
    </w:lvl>
  </w:abstractNum>
  <w:abstractNum w:abstractNumId="3" w15:restartNumberingAfterBreak="0">
    <w:nsid w:val="6022328D"/>
    <w:multiLevelType w:val="singleLevel"/>
    <w:tmpl w:val="2398D546"/>
    <w:lvl w:ilvl="0">
      <w:start w:val="16"/>
      <w:numFmt w:val="taiwaneseCountingThousand"/>
      <w:lvlText w:val="第%1條"/>
      <w:lvlJc w:val="left"/>
      <w:pPr>
        <w:tabs>
          <w:tab w:val="num" w:pos="1410"/>
        </w:tabs>
        <w:ind w:left="1410" w:hanging="1410"/>
      </w:pPr>
      <w:rPr>
        <w:rFonts w:hint="eastAsia"/>
      </w:rPr>
    </w:lvl>
  </w:abstractNum>
  <w:abstractNum w:abstractNumId="4" w15:restartNumberingAfterBreak="0">
    <w:nsid w:val="6B52011F"/>
    <w:multiLevelType w:val="singleLevel"/>
    <w:tmpl w:val="51F6BDC0"/>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7A265650"/>
    <w:multiLevelType w:val="singleLevel"/>
    <w:tmpl w:val="53683660"/>
    <w:lvl w:ilvl="0">
      <w:start w:val="3"/>
      <w:numFmt w:val="taiwaneseCountingThousand"/>
      <w:pStyle w:val="a"/>
      <w:lvlText w:val="第%1條"/>
      <w:lvlJc w:val="left"/>
      <w:pPr>
        <w:tabs>
          <w:tab w:val="num" w:pos="1425"/>
        </w:tabs>
        <w:ind w:left="1425" w:hanging="1425"/>
      </w:pPr>
      <w:rPr>
        <w:rFonts w:hint="eastAsia"/>
      </w:rPr>
    </w:lvl>
  </w:abstractNum>
  <w:num w:numId="1">
    <w:abstractNumId w:val="4"/>
  </w:num>
  <w:num w:numId="2">
    <w:abstractNumId w:val="1"/>
  </w:num>
  <w:num w:numId="3">
    <w:abstractNumId w:val="0"/>
  </w:num>
  <w:num w:numId="4">
    <w:abstractNumId w:val="5"/>
  </w:num>
  <w:num w:numId="5">
    <w:abstractNumId w:val="5"/>
  </w:num>
  <w:num w:numId="6">
    <w:abstractNumId w:val="3"/>
  </w:num>
  <w:num w:numId="7">
    <w:abstractNumId w:val="5"/>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B9"/>
    <w:rsid w:val="0053220A"/>
    <w:rsid w:val="00986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F3FD6-F8B9-4FF0-9E9F-651658CC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semiHidden/>
    <w:rPr>
      <w:color w:val="0000FF"/>
      <w:u w:val="single"/>
    </w:rPr>
  </w:style>
  <w:style w:type="paragraph" w:customStyle="1" w:styleId="a">
    <w:name w:val="第一項"/>
    <w:basedOn w:val="a0"/>
    <w:pPr>
      <w:numPr>
        <w:numId w:val="8"/>
      </w:numPr>
      <w:adjustRightInd w:val="0"/>
      <w:snapToGrid w:val="0"/>
      <w:jc w:val="both"/>
      <w:textAlignment w:val="baseline"/>
    </w:pPr>
    <w:rPr>
      <w:rFonts w:ascii="標楷體" w:eastAsia="標楷體"/>
      <w:kern w:val="0"/>
      <w:sz w:val="28"/>
    </w:rPr>
  </w:style>
  <w:style w:type="paragraph" w:customStyle="1" w:styleId="a5">
    <w:name w:val="第二項"/>
    <w:basedOn w:val="a0"/>
    <w:pPr>
      <w:adjustRightInd w:val="0"/>
      <w:spacing w:line="360" w:lineRule="atLeast"/>
      <w:ind w:left="322" w:firstLine="560"/>
      <w:jc w:val="both"/>
      <w:textAlignment w:val="baseline"/>
    </w:pPr>
    <w:rPr>
      <w:rFonts w:ascii="標楷體"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有關93年度數據通信接取普及服務之優惠補助金額相關事宜</dc:title>
  <dc:subject/>
  <dc:creator>lindal</dc:creator>
  <cp:keywords/>
  <dc:description/>
  <cp:lastModifiedBy>葉芙榮</cp:lastModifiedBy>
  <cp:revision>2</cp:revision>
  <cp:lastPrinted>2004-03-10T02:53:00Z</cp:lastPrinted>
  <dcterms:created xsi:type="dcterms:W3CDTF">2017-07-13T03:32:00Z</dcterms:created>
  <dcterms:modified xsi:type="dcterms:W3CDTF">2017-07-13T03:32:00Z</dcterms:modified>
</cp:coreProperties>
</file>