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44D10">
      <w:pPr>
        <w:jc w:val="center"/>
        <w:rPr>
          <w:rFonts w:hint="eastAsia"/>
        </w:rPr>
      </w:pPr>
      <w:bookmarkStart w:id="0" w:name="_GoBack"/>
      <w:bookmarkEnd w:id="0"/>
      <w:r>
        <w:t>TANet IPv6 Address (2001:288::/32) Allocation Policy</w:t>
      </w:r>
      <w:r>
        <w:br/>
      </w:r>
      <w:r>
        <w:t>草案</w:t>
      </w:r>
      <w:r>
        <w:t xml:space="preserve"> 2004.03.11 </w:t>
      </w:r>
      <w:r>
        <w:t>版</w:t>
      </w:r>
    </w:p>
    <w:p w:rsidR="00000000" w:rsidRDefault="00A44D10">
      <w:pPr>
        <w:jc w:val="both"/>
        <w:rPr>
          <w:rFonts w:hint="eastAsia"/>
        </w:rPr>
      </w:pPr>
    </w:p>
    <w:p w:rsidR="00A44D10" w:rsidRDefault="00A44D10">
      <w:pPr>
        <w:jc w:val="both"/>
        <w:rPr>
          <w:rFonts w:eastAsia="標楷體"/>
          <w:b/>
          <w:sz w:val="28"/>
        </w:rPr>
      </w:pPr>
      <w:r>
        <w:t>0.</w:t>
      </w:r>
      <w:r>
        <w:t>根據</w:t>
      </w:r>
      <w:r>
        <w:t xml:space="preserve">TWNIC </w:t>
      </w:r>
      <w:r>
        <w:t>之建議</w:t>
      </w:r>
      <w:r>
        <w:t xml:space="preserve">, IPv6 Address </w:t>
      </w:r>
      <w:r>
        <w:t>最小核撥單位量為</w:t>
      </w:r>
      <w:r>
        <w:t xml:space="preserve"> prefix /48</w:t>
      </w:r>
      <w:r>
        <w:br/>
      </w:r>
      <w:r>
        <w:br/>
        <w:t>1.</w:t>
      </w:r>
      <w:r>
        <w:t>每個連線學校</w:t>
      </w:r>
      <w:r>
        <w:t>(</w:t>
      </w:r>
      <w:r>
        <w:t>大專至國中小</w:t>
      </w:r>
      <w:r>
        <w:t>)</w:t>
      </w:r>
      <w:r>
        <w:t>皆核發</w:t>
      </w:r>
      <w:r>
        <w:t xml:space="preserve"> /48</w:t>
      </w:r>
      <w:r>
        <w:br/>
      </w:r>
      <w:r>
        <w:br/>
        <w:t>2.</w:t>
      </w:r>
      <w:r>
        <w:t>大專院校之分校</w:t>
      </w:r>
      <w:r>
        <w:t xml:space="preserve">, </w:t>
      </w:r>
      <w:r>
        <w:t>由其實體電路連線單位</w:t>
      </w:r>
      <w:r>
        <w:t>(</w:t>
      </w:r>
      <w:r>
        <w:t>區網</w:t>
      </w:r>
      <w:r>
        <w:t>)</w:t>
      </w:r>
      <w:r>
        <w:t>核發</w:t>
      </w:r>
      <w:r>
        <w:t xml:space="preserve"> /48</w:t>
      </w:r>
      <w:r>
        <w:br/>
      </w:r>
      <w:r>
        <w:br/>
        <w:t>3.</w:t>
      </w:r>
      <w:r>
        <w:t>高中職校由其連線單位</w:t>
      </w:r>
      <w:r>
        <w:t>(</w:t>
      </w:r>
      <w:r>
        <w:t>區網</w:t>
      </w:r>
      <w:r>
        <w:t>/</w:t>
      </w:r>
      <w:r>
        <w:t>縣網</w:t>
      </w:r>
      <w:r>
        <w:t>)</w:t>
      </w:r>
      <w:r>
        <w:t>核發</w:t>
      </w:r>
      <w:r>
        <w:t xml:space="preserve"> /48</w:t>
      </w:r>
      <w:r>
        <w:br/>
        <w:t xml:space="preserve">  </w:t>
      </w:r>
      <w:r>
        <w:t>學校如更換連線單位</w:t>
      </w:r>
      <w:r>
        <w:t xml:space="preserve">, </w:t>
      </w:r>
      <w:r>
        <w:t>也必須更換</w:t>
      </w:r>
      <w:r>
        <w:t xml:space="preserve"> prefix , </w:t>
      </w:r>
      <w:r>
        <w:t>實體電路同時接區網與縣網</w:t>
      </w:r>
      <w:r>
        <w:br/>
        <w:t xml:space="preserve">  </w:t>
      </w:r>
      <w:r>
        <w:t>的情況宜避免</w:t>
      </w:r>
      <w:r>
        <w:t>.</w:t>
      </w:r>
      <w:r>
        <w:br/>
        <w:t xml:space="preserve">  </w:t>
      </w:r>
      <w:r>
        <w:t>建議</w:t>
      </w:r>
      <w:r>
        <w:t>:</w:t>
      </w:r>
      <w:r>
        <w:br/>
        <w:t xml:space="preserve">  </w:t>
      </w:r>
      <w:r>
        <w:t>為便於管理</w:t>
      </w:r>
      <w:r>
        <w:t xml:space="preserve">, </w:t>
      </w:r>
      <w:r>
        <w:t>建議高中職等可能異動連線單位之學校</w:t>
      </w:r>
      <w:r>
        <w:t xml:space="preserve">, IPv6 address </w:t>
      </w:r>
      <w:r>
        <w:br/>
        <w:t xml:space="preserve">  </w:t>
      </w:r>
      <w:r>
        <w:t>之安排位置另做集中規畫</w:t>
      </w:r>
      <w:r>
        <w:t>(</w:t>
      </w:r>
      <w:r>
        <w:t>例如</w:t>
      </w:r>
      <w:r>
        <w:t>:</w:t>
      </w:r>
      <w:r>
        <w:t>由後往前排</w:t>
      </w:r>
      <w:r>
        <w:t xml:space="preserve">), </w:t>
      </w:r>
      <w:r>
        <w:t>以台北市網為例</w:t>
      </w:r>
      <w:r>
        <w:t>:</w:t>
      </w:r>
      <w:r>
        <w:br/>
        <w:t xml:space="preserve">  </w:t>
      </w:r>
      <w:r>
        <w:t>台北市</w:t>
      </w:r>
      <w:r>
        <w:t xml:space="preserve">  2001:288:1200::/39 ( </w:t>
      </w:r>
      <w:r>
        <w:t>即</w:t>
      </w:r>
      <w:r>
        <w:t xml:space="preserve"> 2001:288:1200--13FF )</w:t>
      </w:r>
      <w:r>
        <w:br/>
        <w:t xml:space="preserve">    </w:t>
      </w:r>
      <w:r>
        <w:t>台北市網</w:t>
      </w:r>
      <w:r>
        <w:t xml:space="preserve"> 2001:288:1201::/48</w:t>
      </w:r>
      <w:r>
        <w:br/>
        <w:t xml:space="preserve">    </w:t>
      </w:r>
      <w:proofErr w:type="spellStart"/>
      <w:r>
        <w:t>xxxx</w:t>
      </w:r>
      <w:proofErr w:type="spellEnd"/>
      <w:r>
        <w:t>國小</w:t>
      </w:r>
      <w:r>
        <w:t xml:space="preserve"> 2001:288:1202::/48</w:t>
      </w:r>
      <w:r>
        <w:br/>
        <w:t>    : : :</w:t>
      </w:r>
      <w:r>
        <w:br/>
        <w:t xml:space="preserve">    </w:t>
      </w:r>
      <w:proofErr w:type="spellStart"/>
      <w:r>
        <w:t>yyyy</w:t>
      </w:r>
      <w:proofErr w:type="spellEnd"/>
      <w:r>
        <w:t>高中</w:t>
      </w:r>
      <w:r>
        <w:t xml:space="preserve"> 2001:288:13FD::/48</w:t>
      </w:r>
      <w:r>
        <w:br/>
        <w:t xml:space="preserve">    </w:t>
      </w:r>
      <w:proofErr w:type="spellStart"/>
      <w:r>
        <w:t>zzzz</w:t>
      </w:r>
      <w:proofErr w:type="spellEnd"/>
      <w:r>
        <w:t>高職</w:t>
      </w:r>
      <w:r>
        <w:t xml:space="preserve"> 2001:288:13FE::</w:t>
      </w:r>
      <w:r>
        <w:t>/48</w:t>
      </w:r>
      <w:r>
        <w:br/>
      </w:r>
      <w:r>
        <w:br/>
        <w:t>4.</w:t>
      </w:r>
      <w:r>
        <w:t>國中小由縣市網核發</w:t>
      </w:r>
      <w:r>
        <w:t xml:space="preserve"> /48 , </w:t>
      </w:r>
      <w:r>
        <w:t>接區網者是否核撥</w:t>
      </w:r>
      <w:r>
        <w:t xml:space="preserve"> IPv6 Address? </w:t>
      </w:r>
      <w:r>
        <w:t>建議暫不考慮</w:t>
      </w:r>
      <w:r>
        <w:t>.</w:t>
      </w:r>
      <w:r>
        <w:br/>
      </w:r>
      <w:r>
        <w:br/>
        <w:t xml:space="preserve">5.IPv6 Address </w:t>
      </w:r>
      <w:r>
        <w:t>之核發以教育部及教育局核准設立之學校為主</w:t>
      </w:r>
      <w:r>
        <w:t xml:space="preserve">, </w:t>
      </w:r>
      <w:r>
        <w:t>其它機關或機構</w:t>
      </w:r>
      <w:r>
        <w:br/>
        <w:t xml:space="preserve">  </w:t>
      </w:r>
      <w:r>
        <w:t>暫不考慮</w:t>
      </w:r>
      <w:r>
        <w:t>.</w:t>
      </w:r>
    </w:p>
    <w:sectPr w:rsidR="00A44D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7540E"/>
    <w:multiLevelType w:val="multilevel"/>
    <w:tmpl w:val="A65ED48E"/>
    <w:lvl w:ilvl="0">
      <w:start w:val="1"/>
      <w:numFmt w:val="none"/>
      <w:suff w:val="space"/>
      <w:lvlText w:val="Chapter %1"/>
      <w:lvlJc w:val="left"/>
      <w:rPr>
        <w:rFonts w:hint="eastAsia"/>
      </w:rPr>
    </w:lvl>
    <w:lvl w:ilvl="1">
      <w:start w:val="1"/>
      <w:numFmt w:val="ideographLegalTraditional"/>
      <w:pStyle w:val="2"/>
      <w:suff w:val="nothing"/>
      <w:lvlText w:val="%2、"/>
      <w:lvlJc w:val="left"/>
      <w:pPr>
        <w:ind w:left="1701" w:hanging="1701"/>
      </w:pPr>
      <w:rPr>
        <w:rFonts w:ascii="標楷體" w:eastAsia="標楷體" w:hint="eastAsia"/>
        <w:b/>
        <w:i w:val="0"/>
        <w:sz w:val="4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2268" w:hanging="1701"/>
      </w:pPr>
      <w:rPr>
        <w:rFonts w:ascii="標楷體" w:eastAsia="標楷體" w:hint="eastAsia"/>
        <w:b/>
        <w:i w:val="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pStyle w:val="4"/>
      <w:suff w:val="nothing"/>
      <w:lvlText w:val="(%4)"/>
      <w:lvlJc w:val="left"/>
      <w:pPr>
        <w:ind w:left="2835" w:hanging="1701"/>
      </w:pPr>
      <w:rPr>
        <w:rFonts w:ascii="標楷體" w:eastAsia="標楷體" w:hAnsi="標楷體" w:hint="eastAsia"/>
        <w:b w:val="0"/>
        <w:i w:val="0"/>
        <w:sz w:val="32"/>
      </w:rPr>
    </w:lvl>
    <w:lvl w:ilvl="4">
      <w:start w:val="1"/>
      <w:numFmt w:val="upperLetter"/>
      <w:pStyle w:val="5"/>
      <w:suff w:val="nothing"/>
      <w:lvlText w:val="%5"/>
      <w:lvlJc w:val="left"/>
      <w:pPr>
        <w:ind w:left="2268" w:hanging="567"/>
      </w:pPr>
      <w:rPr>
        <w:rFonts w:ascii="標楷體" w:eastAsia="標楷體" w:hAnsi="標楷體" w:hint="eastAsia"/>
        <w:b w:val="0"/>
        <w:i w:val="0"/>
        <w:sz w:val="28"/>
      </w:rPr>
    </w:lvl>
    <w:lvl w:ilvl="5">
      <w:start w:val="1"/>
      <w:numFmt w:val="none"/>
      <w:pStyle w:val="6"/>
      <w:suff w:val="nothing"/>
      <w:lvlText w:val=""/>
      <w:lvlJc w:val="left"/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3F"/>
    <w:rsid w:val="0025073F"/>
    <w:rsid w:val="00A4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62662-1EB8-48D4-8B5C-FF4CC9BB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qFormat/>
    <w:pPr>
      <w:numPr>
        <w:ilvl w:val="1"/>
        <w:numId w:val="1"/>
      </w:numPr>
      <w:autoSpaceDE w:val="0"/>
      <w:autoSpaceDN w:val="0"/>
      <w:adjustRightInd w:val="0"/>
      <w:snapToGrid w:val="0"/>
      <w:spacing w:before="400" w:after="120" w:line="240" w:lineRule="exact"/>
      <w:outlineLvl w:val="1"/>
    </w:pPr>
    <w:rPr>
      <w:b/>
      <w:kern w:val="0"/>
      <w:sz w:val="48"/>
    </w:rPr>
  </w:style>
  <w:style w:type="paragraph" w:styleId="3">
    <w:name w:val="heading 3"/>
    <w:basedOn w:val="a1"/>
    <w:next w:val="a"/>
    <w:qFormat/>
    <w:pPr>
      <w:numPr>
        <w:ilvl w:val="2"/>
        <w:numId w:val="1"/>
      </w:numPr>
      <w:adjustRightInd w:val="0"/>
      <w:snapToGrid w:val="0"/>
      <w:spacing w:before="240" w:after="120" w:line="400" w:lineRule="atLeast"/>
      <w:outlineLvl w:val="2"/>
    </w:pPr>
    <w:rPr>
      <w:rFonts w:ascii="標楷體" w:eastAsia="標楷體" w:hAnsi="Arial"/>
      <w:color w:val="000000"/>
      <w:sz w:val="40"/>
    </w:rPr>
  </w:style>
  <w:style w:type="paragraph" w:styleId="4">
    <w:name w:val="heading 4"/>
    <w:basedOn w:val="a1"/>
    <w:next w:val="a1"/>
    <w:qFormat/>
    <w:pPr>
      <w:keepLines/>
      <w:numPr>
        <w:ilvl w:val="3"/>
        <w:numId w:val="1"/>
      </w:numPr>
      <w:spacing w:before="240" w:after="120" w:line="500" w:lineRule="exact"/>
      <w:outlineLvl w:val="3"/>
    </w:pPr>
    <w:rPr>
      <w:rFonts w:ascii="標楷體" w:eastAsia="標楷體" w:hAnsi="標楷體"/>
      <w:color w:val="000000"/>
      <w:sz w:val="36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adjustRightInd w:val="0"/>
      <w:spacing w:line="400" w:lineRule="atLeast"/>
      <w:outlineLvl w:val="4"/>
    </w:pPr>
    <w:rPr>
      <w:rFonts w:ascii="Arial" w:eastAsia="標楷體" w:hAnsi="Arial"/>
      <w:color w:val="000000"/>
      <w:sz w:val="32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spacing w:line="720" w:lineRule="auto"/>
      <w:outlineLvl w:val="5"/>
    </w:pPr>
    <w:rPr>
      <w:rFonts w:ascii="Arial" w:eastAsia="標楷體" w:hAnsi="Arial"/>
      <w:color w:val="000000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720" w:lineRule="auto"/>
      <w:outlineLvl w:val="6"/>
    </w:pPr>
    <w:rPr>
      <w:rFonts w:ascii="Arial" w:eastAsia="標楷體" w:hAnsi="Arial"/>
      <w:b/>
      <w:color w:val="000000"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spacing w:line="720" w:lineRule="auto"/>
      <w:outlineLvl w:val="7"/>
    </w:pPr>
    <w:rPr>
      <w:rFonts w:ascii="Arial" w:eastAsia="標楷體" w:hAnsi="Arial"/>
      <w:color w:val="000000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line="720" w:lineRule="auto"/>
      <w:outlineLvl w:val="8"/>
    </w:pPr>
    <w:rPr>
      <w:rFonts w:ascii="Arial" w:eastAsia="標楷體" w:hAnsi="Arial"/>
      <w:color w:val="000000"/>
      <w:sz w:val="36"/>
      <w:szCs w:val="20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rmal Indent"/>
    <w:basedOn w:val="a"/>
    <w:semiHidden/>
    <w:pPr>
      <w:spacing w:line="200" w:lineRule="atLeast"/>
      <w:ind w:left="480"/>
    </w:pPr>
    <w:rPr>
      <w:rFonts w:ascii="標楷體" w:eastAsia="標楷體" w:hAnsi="Arial"/>
      <w:color w:val="000000"/>
      <w:sz w:val="32"/>
      <w:szCs w:val="20"/>
    </w:rPr>
  </w:style>
  <w:style w:type="paragraph" w:styleId="a1">
    <w:name w:val="Plain Text"/>
    <w:basedOn w:val="a"/>
    <w:semiHidden/>
    <w:rPr>
      <w:rFonts w:ascii="細明體" w:eastAsia="細明體" w:hAnsi="Courier New"/>
      <w:szCs w:val="20"/>
    </w:rPr>
  </w:style>
  <w:style w:type="character" w:styleId="a5">
    <w:name w:val="Hyperlink"/>
    <w:basedOn w:val="a2"/>
    <w:semiHidden/>
    <w:rPr>
      <w:color w:val="0000FF"/>
      <w:u w:val="single"/>
    </w:rPr>
  </w:style>
  <w:style w:type="character" w:styleId="a6">
    <w:name w:val="FollowedHyperlink"/>
    <w:basedOn w:val="a2"/>
    <w:semiHidden/>
    <w:rPr>
      <w:color w:val="800080"/>
      <w:u w:val="single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新細明體"/>
      <w:kern w:val="0"/>
      <w:sz w:val="20"/>
      <w:szCs w:val="20"/>
    </w:rPr>
  </w:style>
  <w:style w:type="paragraph" w:customStyle="1" w:styleId="ae">
    <w:name w:val="ae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Courier New"/>
      <w:kern w:val="0"/>
    </w:rPr>
  </w:style>
  <w:style w:type="paragraph" w:styleId="a7">
    <w:name w:val="Body Text Indent"/>
    <w:basedOn w:val="a"/>
    <w:semiHidden/>
    <w:pPr>
      <w:ind w:leftChars="448" w:left="1078" w:hangingChars="1" w:hanging="3"/>
    </w:pPr>
    <w:rPr>
      <w:rFonts w:ascii="標楷體" w:eastAsia="標楷體" w:hAnsi="標楷體"/>
      <w:color w:val="000000"/>
      <w:sz w:val="32"/>
      <w:szCs w:val="32"/>
    </w:rPr>
  </w:style>
  <w:style w:type="paragraph" w:customStyle="1" w:styleId="a8">
    <w:name w:val="公告"/>
    <w:basedOn w:val="a"/>
    <w:pPr>
      <w:spacing w:line="360" w:lineRule="exact"/>
    </w:pPr>
    <w:rPr>
      <w:rFonts w:eastAsia="標楷體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教育部電算中心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台灣學術網路第五十七次技術小組會議議程</dc:title>
  <dc:subject/>
  <dc:creator>楊鎰誌</dc:creator>
  <cp:keywords/>
  <dc:description/>
  <cp:lastModifiedBy>葉芙榮</cp:lastModifiedBy>
  <cp:revision>2</cp:revision>
  <cp:lastPrinted>2004-03-11T04:10:00Z</cp:lastPrinted>
  <dcterms:created xsi:type="dcterms:W3CDTF">2017-07-13T03:32:00Z</dcterms:created>
  <dcterms:modified xsi:type="dcterms:W3CDTF">2017-07-13T03:32:00Z</dcterms:modified>
</cp:coreProperties>
</file>