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35"/>
        <w:gridCol w:w="3695"/>
        <w:gridCol w:w="3702"/>
        <w:gridCol w:w="3836"/>
      </w:tblGrid>
      <w:tr w:rsidR="000B2E67" w:rsidRPr="000111BC" w:rsidTr="000B2E67">
        <w:trPr>
          <w:trHeight w:val="660"/>
        </w:trPr>
        <w:tc>
          <w:tcPr>
            <w:tcW w:w="3435" w:type="dxa"/>
          </w:tcPr>
          <w:p w:rsidR="000B2E67" w:rsidRPr="000111BC" w:rsidRDefault="00F121EA" w:rsidP="000B2E67">
            <w:pPr>
              <w:widowControl/>
              <w:jc w:val="center"/>
              <w:rPr>
                <w:rFonts w:ascii="Arial" w:eastAsia="新細明體" w:hAnsi="Arial" w:cs="Arial"/>
                <w:b/>
                <w:bCs/>
                <w:color w:val="000000" w:themeColor="text1"/>
                <w:kern w:val="0"/>
                <w:sz w:val="28"/>
                <w:szCs w:val="28"/>
              </w:rPr>
            </w:pPr>
            <w:r>
              <w:rPr>
                <w:rFonts w:ascii="Arial" w:eastAsia="新細明體" w:hAnsi="Arial" w:cs="Arial" w:hint="eastAsia"/>
                <w:b/>
                <w:bCs/>
                <w:noProof/>
                <w:color w:val="000000" w:themeColor="text1"/>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-58169</wp:posOffset>
                      </wp:positionH>
                      <wp:positionV relativeFrom="paragraph">
                        <wp:posOffset>-612406</wp:posOffset>
                      </wp:positionV>
                      <wp:extent cx="5167423" cy="425303"/>
                      <wp:effectExtent l="0" t="0" r="14605" b="13335"/>
                      <wp:wrapNone/>
                      <wp:docPr id="1" name="文字方塊 1"/>
                      <wp:cNvGraphicFramePr/>
                      <a:graphic xmlns:a="http://schemas.openxmlformats.org/drawingml/2006/main">
                        <a:graphicData uri="http://schemas.microsoft.com/office/word/2010/wordprocessingShape">
                          <wps:wsp>
                            <wps:cNvSpPr txBox="1"/>
                            <wps:spPr>
                              <a:xfrm>
                                <a:off x="0" y="0"/>
                                <a:ext cx="5167423" cy="425303"/>
                              </a:xfrm>
                              <a:prstGeom prst="rect">
                                <a:avLst/>
                              </a:prstGeom>
                              <a:solidFill>
                                <a:schemeClr val="lt1"/>
                              </a:solidFill>
                              <a:ln w="6350">
                                <a:solidFill>
                                  <a:prstClr val="black"/>
                                </a:solidFill>
                              </a:ln>
                            </wps:spPr>
                            <wps:txbx>
                              <w:txbxContent>
                                <w:p w:rsidR="00F121EA" w:rsidRPr="00F121EA" w:rsidRDefault="00F121EA" w:rsidP="00F121EA">
                                  <w:pPr>
                                    <w:jc w:val="center"/>
                                    <w:rPr>
                                      <w:rFonts w:asciiTheme="majorEastAsia" w:eastAsiaTheme="majorEastAsia" w:hAnsiTheme="majorEastAsia" w:hint="eastAsia"/>
                                      <w:b/>
                                    </w:rPr>
                                  </w:pPr>
                                  <w:r w:rsidRPr="00F121EA">
                                    <w:rPr>
                                      <w:rFonts w:asciiTheme="majorEastAsia" w:eastAsiaTheme="majorEastAsia" w:hAnsiTheme="majorEastAsia" w:hint="eastAsia"/>
                                      <w:b/>
                                    </w:rPr>
                                    <w:t>新聞稿附件</w:t>
                                  </w:r>
                                  <w:r w:rsidRPr="00F121EA">
                                    <w:rPr>
                                      <w:rFonts w:asciiTheme="majorEastAsia" w:eastAsiaTheme="majorEastAsia" w:hAnsiTheme="majorEastAsia"/>
                                      <w:b/>
                                    </w:rPr>
                                    <w:t>：</w:t>
                                  </w:r>
                                  <w:r w:rsidRPr="00F121EA">
                                    <w:rPr>
                                      <w:rFonts w:asciiTheme="majorEastAsia" w:eastAsiaTheme="majorEastAsia" w:hAnsiTheme="majorEastAsia" w:hint="eastAsia"/>
                                      <w:b/>
                                    </w:rPr>
                                    <w:t>2019全球青年趨勢論壇各國代表團議題行動方案得票結果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6pt;margin-top:-48.2pt;width:406.9pt;height: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c4YgIAAKUEAAAOAAAAZHJzL2Uyb0RvYy54bWysVEtu2zAQ3RfoHQjua/mfVrAcuA5cFDCS&#10;AE6RNU1RllCKw5K0JfcCBXKAdN0D9AA9UHKODinZcdKuim6oIefxcebNjCbndSnJThhbgEpor9Ol&#10;RCgOaaE2Cf10s3jzlhLrmEqZBCUSuheWnk9fv5pUOhZ9yEGmwhAkUTaudEJz53QcRZbnomS2A1oo&#10;dGZgSuZwazZRaliF7KWM+t3uOKrApNoAF9bi6UXjpNPAn2WCu6sss8IRmVCMzYXVhHXt12g6YfHG&#10;MJ0XvA2D/UMUJSsUPnqkumCOka0p/qAqC27AQuY6HMoIsqzgIuSA2fS6L7JZ5UyLkAuKY/VRJvv/&#10;aPnl7tqQIsXaUaJYiSV6vP/28PP74/2vhx93pOcVqrSNEbjSCHX1e6g9uj23eOgTrzNT+i+mRNCP&#10;Wu+P+oraEY6Ho974bNgfUMLRN+yPBt2Bp4mebmtj3QcBJfFGQg3WL8jKdkvrGugB4h+zIIt0UUgZ&#10;Nr5nxFwasmNYbelCjEj+DCUVqRI6Hoy6gfiZz1Mf768l45/b8E5QyCcVxuw1aXL3lqvXdSvIGtI9&#10;6mSg6TWr+aJA3iWz7poZbC6UBgfGXeGSScBgoLUoycF8/du5x2PN0UtJhc2aUPtly4ygRH5U2A3v&#10;esOh7+6wGY7O+rgxp571qUdtyzmgQlhxjC6YHu/kwcwMlLc4VzP/KrqY4vh2Qt3BnLtmhHAuuZjN&#10;Agj7WTO3VCvNPbWviNfzpr5lRrf1dNgJl3Boaxa/KGuD9TcVzLYOsiLU3AvcqNrqjrMQuqadWz9s&#10;p/uAevq7TH8DAAD//wMAUEsDBBQABgAIAAAAIQBm+DXH3QAAAAoBAAAPAAAAZHJzL2Rvd25yZXYu&#10;eG1sTI/BTsMwDIbvSLxDZCRuW7qqqtrSdBpocOHEhjhnTZZENE7VZF15e7wTnCzbn35/breLH9is&#10;p+gCCtisM2Aa+6AcGgGfx9dVBSwmiUoOAbWAHx1h293ftbJR4Yofej4kwygEYyMF2JTGhvPYW+1l&#10;XIdRI+3OYfIyUTsZriZ5pXA/8DzLSu6lQ7pg5ahfrO6/DxcvYP9satNXcrL7Sjk3L1/nd/MmxOPD&#10;snsClvSS/mC46ZM6dOR0ChdUkQ0CVnVO5K2WBTACqqwogZ1oktcF8K7l/1/ofgEAAP//AwBQSwEC&#10;LQAUAAYACAAAACEAtoM4kv4AAADhAQAAEwAAAAAAAAAAAAAAAAAAAAAAW0NvbnRlbnRfVHlwZXNd&#10;LnhtbFBLAQItABQABgAIAAAAIQA4/SH/1gAAAJQBAAALAAAAAAAAAAAAAAAAAC8BAABfcmVscy8u&#10;cmVsc1BLAQItABQABgAIAAAAIQBeAOc4YgIAAKUEAAAOAAAAAAAAAAAAAAAAAC4CAABkcnMvZTJv&#10;RG9jLnhtbFBLAQItABQABgAIAAAAIQBm+DXH3QAAAAoBAAAPAAAAAAAAAAAAAAAAALwEAABkcnMv&#10;ZG93bnJldi54bWxQSwUGAAAAAAQABADzAAAAxgUAAAAA&#10;" fillcolor="white [3201]" strokeweight=".5pt">
                      <v:textbox>
                        <w:txbxContent>
                          <w:p w:rsidR="00F121EA" w:rsidRPr="00F121EA" w:rsidRDefault="00F121EA" w:rsidP="00F121EA">
                            <w:pPr>
                              <w:jc w:val="center"/>
                              <w:rPr>
                                <w:rFonts w:asciiTheme="majorEastAsia" w:eastAsiaTheme="majorEastAsia" w:hAnsiTheme="majorEastAsia" w:hint="eastAsia"/>
                                <w:b/>
                              </w:rPr>
                            </w:pPr>
                            <w:r w:rsidRPr="00F121EA">
                              <w:rPr>
                                <w:rFonts w:asciiTheme="majorEastAsia" w:eastAsiaTheme="majorEastAsia" w:hAnsiTheme="majorEastAsia" w:hint="eastAsia"/>
                                <w:b/>
                              </w:rPr>
                              <w:t>新聞稿附件</w:t>
                            </w:r>
                            <w:r w:rsidRPr="00F121EA">
                              <w:rPr>
                                <w:rFonts w:asciiTheme="majorEastAsia" w:eastAsiaTheme="majorEastAsia" w:hAnsiTheme="majorEastAsia"/>
                                <w:b/>
                              </w:rPr>
                              <w:t>：</w:t>
                            </w:r>
                            <w:r w:rsidRPr="00F121EA">
                              <w:rPr>
                                <w:rFonts w:asciiTheme="majorEastAsia" w:eastAsiaTheme="majorEastAsia" w:hAnsiTheme="majorEastAsia" w:hint="eastAsia"/>
                                <w:b/>
                              </w:rPr>
                              <w:t>2019全球青年趨勢論壇各國代表團議題行動方案得票結果</w:t>
                            </w:r>
                          </w:p>
                        </w:txbxContent>
                      </v:textbox>
                    </v:shape>
                  </w:pict>
                </mc:Fallback>
              </mc:AlternateContent>
            </w:r>
            <w:r w:rsidR="000B2E67">
              <w:rPr>
                <w:rFonts w:ascii="Arial" w:eastAsia="新細明體" w:hAnsi="Arial" w:cs="Arial" w:hint="eastAsia"/>
                <w:b/>
                <w:bCs/>
                <w:color w:val="000000" w:themeColor="text1"/>
                <w:kern w:val="0"/>
                <w:sz w:val="28"/>
                <w:szCs w:val="28"/>
              </w:rPr>
              <w:t>議題</w:t>
            </w:r>
            <w:r w:rsidR="000B2E67">
              <w:rPr>
                <w:rFonts w:ascii="Arial" w:eastAsia="新細明體" w:hAnsi="Arial" w:cs="Arial" w:hint="eastAsia"/>
                <w:b/>
                <w:bCs/>
                <w:color w:val="000000" w:themeColor="text1"/>
                <w:kern w:val="0"/>
                <w:sz w:val="28"/>
                <w:szCs w:val="28"/>
              </w:rPr>
              <w:t>Topic</w:t>
            </w:r>
          </w:p>
        </w:tc>
        <w:tc>
          <w:tcPr>
            <w:tcW w:w="3695" w:type="dxa"/>
            <w:shd w:val="clear" w:color="auto" w:fill="auto"/>
            <w:vAlign w:val="center"/>
            <w:hideMark/>
          </w:tcPr>
          <w:p w:rsidR="000B2E67" w:rsidRPr="000111BC" w:rsidRDefault="000B2E67" w:rsidP="000B2E67">
            <w:pPr>
              <w:widowControl/>
              <w:jc w:val="center"/>
              <w:rPr>
                <w:rFonts w:ascii="Arial" w:eastAsia="新細明體" w:hAnsi="Arial" w:cs="Arial"/>
                <w:b/>
                <w:bCs/>
                <w:color w:val="000000" w:themeColor="text1"/>
                <w:kern w:val="0"/>
                <w:sz w:val="28"/>
                <w:szCs w:val="28"/>
              </w:rPr>
            </w:pPr>
            <w:bookmarkStart w:id="0" w:name="_GoBack"/>
            <w:bookmarkEnd w:id="0"/>
            <w:r w:rsidRPr="000111BC">
              <w:rPr>
                <w:rFonts w:ascii="Arial" w:eastAsia="新細明體" w:hAnsi="Arial" w:cs="Arial"/>
                <w:b/>
                <w:bCs/>
                <w:color w:val="000000" w:themeColor="text1"/>
                <w:kern w:val="0"/>
                <w:sz w:val="28"/>
                <w:szCs w:val="28"/>
              </w:rPr>
              <w:t>國家</w:t>
            </w:r>
            <w:r>
              <w:rPr>
                <w:rFonts w:ascii="Arial" w:eastAsia="新細明體" w:hAnsi="Arial" w:cs="Arial" w:hint="eastAsia"/>
                <w:b/>
                <w:bCs/>
                <w:color w:val="000000" w:themeColor="text1"/>
                <w:kern w:val="0"/>
                <w:sz w:val="28"/>
                <w:szCs w:val="28"/>
              </w:rPr>
              <w:t>代表團</w:t>
            </w:r>
            <w:r>
              <w:rPr>
                <w:rFonts w:ascii="Arial" w:eastAsia="新細明體" w:hAnsi="Arial" w:cs="Arial" w:hint="eastAsia"/>
                <w:b/>
                <w:bCs/>
                <w:color w:val="000000" w:themeColor="text1"/>
                <w:kern w:val="0"/>
                <w:sz w:val="28"/>
                <w:szCs w:val="28"/>
              </w:rPr>
              <w:t xml:space="preserve"> Delegations</w:t>
            </w:r>
          </w:p>
        </w:tc>
        <w:tc>
          <w:tcPr>
            <w:tcW w:w="3702" w:type="dxa"/>
            <w:shd w:val="clear" w:color="auto" w:fill="auto"/>
            <w:vAlign w:val="center"/>
            <w:hideMark/>
          </w:tcPr>
          <w:p w:rsidR="000B2E67" w:rsidRPr="000111BC" w:rsidRDefault="000B2E67" w:rsidP="000B2E67">
            <w:pPr>
              <w:widowControl/>
              <w:jc w:val="center"/>
              <w:rPr>
                <w:rFonts w:ascii="Arial" w:eastAsia="新細明體" w:hAnsi="Arial" w:cs="Arial"/>
                <w:b/>
                <w:bCs/>
                <w:color w:val="000000" w:themeColor="text1"/>
                <w:kern w:val="0"/>
                <w:sz w:val="28"/>
                <w:szCs w:val="28"/>
              </w:rPr>
            </w:pPr>
            <w:r>
              <w:rPr>
                <w:rFonts w:ascii="Arial" w:eastAsia="新細明體" w:hAnsi="Arial" w:cs="Arial" w:hint="eastAsia"/>
                <w:b/>
                <w:bCs/>
                <w:color w:val="000000" w:themeColor="text1"/>
                <w:kern w:val="0"/>
                <w:sz w:val="28"/>
                <w:szCs w:val="28"/>
              </w:rPr>
              <w:t>待解決困境</w:t>
            </w:r>
            <w:r w:rsidRPr="000111BC">
              <w:rPr>
                <w:rFonts w:ascii="Arial" w:eastAsia="新細明體" w:hAnsi="Arial" w:cs="Arial"/>
                <w:b/>
                <w:bCs/>
                <w:color w:val="000000" w:themeColor="text1"/>
                <w:kern w:val="0"/>
                <w:sz w:val="28"/>
                <w:szCs w:val="28"/>
              </w:rPr>
              <w:t>Issue</w:t>
            </w:r>
          </w:p>
        </w:tc>
        <w:tc>
          <w:tcPr>
            <w:tcW w:w="3836" w:type="dxa"/>
            <w:shd w:val="clear" w:color="auto" w:fill="auto"/>
            <w:vAlign w:val="center"/>
            <w:hideMark/>
          </w:tcPr>
          <w:p w:rsidR="000B2E67" w:rsidRPr="000111BC" w:rsidRDefault="000B2E67" w:rsidP="000B2E67">
            <w:pPr>
              <w:widowControl/>
              <w:jc w:val="center"/>
              <w:rPr>
                <w:rFonts w:ascii="Arial" w:eastAsia="新細明體" w:hAnsi="Arial" w:cs="Arial"/>
                <w:b/>
                <w:bCs/>
                <w:color w:val="000000" w:themeColor="text1"/>
                <w:kern w:val="0"/>
                <w:sz w:val="28"/>
                <w:szCs w:val="28"/>
              </w:rPr>
            </w:pPr>
            <w:r>
              <w:rPr>
                <w:rFonts w:ascii="Arial" w:eastAsia="新細明體" w:hAnsi="Arial" w:cs="Arial" w:hint="eastAsia"/>
                <w:b/>
                <w:bCs/>
                <w:color w:val="000000" w:themeColor="text1"/>
                <w:kern w:val="0"/>
                <w:sz w:val="28"/>
                <w:szCs w:val="28"/>
              </w:rPr>
              <w:t>行動方案</w:t>
            </w:r>
            <w:r w:rsidRPr="000111BC">
              <w:rPr>
                <w:rFonts w:ascii="Arial" w:eastAsia="新細明體" w:hAnsi="Arial" w:cs="Arial"/>
                <w:b/>
                <w:bCs/>
                <w:color w:val="000000" w:themeColor="text1"/>
                <w:kern w:val="0"/>
                <w:sz w:val="28"/>
                <w:szCs w:val="28"/>
              </w:rPr>
              <w:t>Action Plan</w:t>
            </w:r>
          </w:p>
        </w:tc>
      </w:tr>
      <w:tr w:rsidR="000B2E67" w:rsidRPr="000111BC" w:rsidTr="000B2E67">
        <w:trPr>
          <w:trHeight w:val="6470"/>
        </w:trPr>
        <w:tc>
          <w:tcPr>
            <w:tcW w:w="3435" w:type="dxa"/>
            <w:vAlign w:val="center"/>
          </w:tcPr>
          <w:p w:rsidR="000B2E67" w:rsidRDefault="000B2E67" w:rsidP="000B2E67">
            <w:pPr>
              <w:widowControl/>
              <w:jc w:val="both"/>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教育創新</w:t>
            </w:r>
          </w:p>
          <w:p w:rsidR="000B2E67" w:rsidRPr="000111BC" w:rsidRDefault="000B2E67" w:rsidP="000B2E67">
            <w:pPr>
              <w:widowControl/>
              <w:jc w:val="both"/>
              <w:rPr>
                <w:rFonts w:ascii="Arial" w:eastAsia="新細明體" w:hAnsi="Arial" w:cs="Arial" w:hint="eastAsia"/>
                <w:color w:val="000000" w:themeColor="text1"/>
                <w:kern w:val="0"/>
                <w:szCs w:val="24"/>
              </w:rPr>
            </w:pPr>
            <w:r>
              <w:rPr>
                <w:rFonts w:ascii="Arial" w:eastAsia="新細明體" w:hAnsi="Arial" w:cs="Arial" w:hint="eastAsia"/>
                <w:color w:val="000000" w:themeColor="text1"/>
                <w:kern w:val="0"/>
                <w:szCs w:val="24"/>
              </w:rPr>
              <w:t>Educational Creativity</w:t>
            </w:r>
          </w:p>
        </w:tc>
        <w:tc>
          <w:tcPr>
            <w:tcW w:w="3695" w:type="dxa"/>
            <w:shd w:val="clear" w:color="auto" w:fill="auto"/>
            <w:vAlign w:val="center"/>
          </w:tcPr>
          <w:p w:rsidR="000B2E67" w:rsidRPr="000111BC" w:rsidRDefault="000B2E67" w:rsidP="000B2E67">
            <w:pPr>
              <w:widowControl/>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波蘭</w:t>
            </w:r>
          </w:p>
          <w:p w:rsidR="000B2E67" w:rsidRPr="000111BC" w:rsidRDefault="000B2E67" w:rsidP="000B2E67">
            <w:pPr>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Poland</w:t>
            </w:r>
          </w:p>
        </w:tc>
        <w:tc>
          <w:tcPr>
            <w:tcW w:w="3702" w:type="dxa"/>
            <w:shd w:val="clear" w:color="auto" w:fill="auto"/>
            <w:vAlign w:val="center"/>
          </w:tcPr>
          <w:p w:rsidR="000B2E67" w:rsidRPr="000111BC" w:rsidRDefault="000B2E67" w:rsidP="000B2E67">
            <w:pPr>
              <w:widowControl/>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Young people lack of participation in decision making process in education system.</w:t>
            </w:r>
            <w:r w:rsidRPr="000111BC">
              <w:rPr>
                <w:rFonts w:ascii="細明體" w:eastAsia="細明體" w:hAnsi="細明體" w:cs="Arial" w:hint="eastAsia"/>
                <w:color w:val="000000" w:themeColor="text1"/>
                <w:kern w:val="0"/>
                <w:szCs w:val="24"/>
              </w:rPr>
              <w:t>青年於教育領域及學校的決策參與率過低。</w:t>
            </w:r>
          </w:p>
          <w:p w:rsidR="000B2E67" w:rsidRPr="000111BC" w:rsidRDefault="000B2E67" w:rsidP="000B2E67">
            <w:pPr>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 xml:space="preserve">　</w:t>
            </w:r>
          </w:p>
        </w:tc>
        <w:tc>
          <w:tcPr>
            <w:tcW w:w="3836" w:type="dxa"/>
            <w:shd w:val="clear" w:color="auto" w:fill="auto"/>
            <w:vAlign w:val="center"/>
          </w:tcPr>
          <w:p w:rsidR="000B2E67" w:rsidRPr="000111BC" w:rsidRDefault="000B2E67" w:rsidP="000B2E67">
            <w:pPr>
              <w:widowControl/>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 xml:space="preserve">The Polish National Youth Council delegation has stressed the importance of including young people in the decision making processes in schools and in the educational system. They have presented several system-based solutions: students’ councils, school participatory budgets and school councils, but have also discussed the need for all system-based interventions to be grounded in the mindsets’ shift of those involved: teachers, parents and students. They have engaged participants in different informal education activities to showcase how this mindset shift can be achieved. </w:t>
            </w:r>
            <w:r w:rsidRPr="000111BC">
              <w:rPr>
                <w:rFonts w:ascii="細明體" w:eastAsia="細明體" w:hAnsi="細明體" w:cs="Arial" w:hint="eastAsia"/>
                <w:color w:val="000000" w:themeColor="text1"/>
                <w:kern w:val="0"/>
                <w:szCs w:val="24"/>
              </w:rPr>
              <w:t>波蘭全國青年議會團體（</w:t>
            </w:r>
            <w:r w:rsidRPr="000111BC">
              <w:rPr>
                <w:rFonts w:ascii="Arial" w:eastAsia="新細明體" w:hAnsi="Arial" w:cs="Arial"/>
                <w:color w:val="000000" w:themeColor="text1"/>
                <w:kern w:val="0"/>
                <w:szCs w:val="24"/>
              </w:rPr>
              <w:t>The Polish National Youth Council delegation</w:t>
            </w:r>
            <w:r w:rsidRPr="000111BC">
              <w:rPr>
                <w:rFonts w:ascii="細明體" w:eastAsia="細明體" w:hAnsi="細明體" w:cs="Arial" w:hint="eastAsia"/>
                <w:color w:val="000000" w:themeColor="text1"/>
                <w:kern w:val="0"/>
                <w:szCs w:val="24"/>
              </w:rPr>
              <w:t>）提倡加強青年在教育領域決策過程的參與。他們提出幾個解決方案系</w:t>
            </w:r>
            <w:r w:rsidRPr="000111BC">
              <w:rPr>
                <w:rFonts w:ascii="細明體" w:eastAsia="細明體" w:hAnsi="細明體" w:cs="Arial" w:hint="eastAsia"/>
                <w:color w:val="000000" w:themeColor="text1"/>
                <w:kern w:val="0"/>
                <w:szCs w:val="24"/>
              </w:rPr>
              <w:lastRenderedPageBreak/>
              <w:t>統:學生議會、編列學校參與式預算，以及設立學校議會，但更重要的是改變體制內全體人員的心態，包含教師、家長，及學生。這群倡議者參與許多體制外教育的活動，展現出改變發生的可能。</w:t>
            </w:r>
          </w:p>
          <w:p w:rsidR="000B2E67" w:rsidRPr="000111BC" w:rsidRDefault="000B2E67" w:rsidP="000B2E67">
            <w:pPr>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 xml:space="preserve">　</w:t>
            </w:r>
          </w:p>
        </w:tc>
      </w:tr>
      <w:tr w:rsidR="000B2E67" w:rsidRPr="000111BC" w:rsidTr="000B2E67">
        <w:trPr>
          <w:trHeight w:val="5520"/>
        </w:trPr>
        <w:tc>
          <w:tcPr>
            <w:tcW w:w="3435" w:type="dxa"/>
            <w:vAlign w:val="center"/>
          </w:tcPr>
          <w:p w:rsidR="000B2E67" w:rsidRDefault="000B2E67" w:rsidP="000B2E67">
            <w:pPr>
              <w:widowControl/>
              <w:jc w:val="both"/>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lastRenderedPageBreak/>
              <w:t>地方創生</w:t>
            </w:r>
          </w:p>
          <w:p w:rsidR="000B2E67" w:rsidRPr="000111BC" w:rsidRDefault="000B2E67" w:rsidP="000B2E67">
            <w:pPr>
              <w:widowControl/>
              <w:jc w:val="both"/>
              <w:rPr>
                <w:rFonts w:ascii="Arial" w:eastAsia="新細明體" w:hAnsi="Arial" w:cs="Arial" w:hint="eastAsia"/>
                <w:color w:val="000000" w:themeColor="text1"/>
                <w:kern w:val="0"/>
                <w:szCs w:val="24"/>
              </w:rPr>
            </w:pPr>
            <w:r>
              <w:rPr>
                <w:rFonts w:ascii="Arial" w:eastAsia="新細明體" w:hAnsi="Arial" w:cs="Arial" w:hint="eastAsia"/>
                <w:color w:val="000000" w:themeColor="text1"/>
                <w:kern w:val="0"/>
                <w:szCs w:val="24"/>
              </w:rPr>
              <w:t>Regional Revitalization</w:t>
            </w:r>
          </w:p>
        </w:tc>
        <w:tc>
          <w:tcPr>
            <w:tcW w:w="3695" w:type="dxa"/>
            <w:shd w:val="clear" w:color="auto" w:fill="auto"/>
            <w:vAlign w:val="center"/>
            <w:hideMark/>
          </w:tcPr>
          <w:p w:rsidR="000B2E67" w:rsidRPr="000111BC" w:rsidRDefault="000B2E67" w:rsidP="000B2E67">
            <w:pPr>
              <w:widowControl/>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愛爾蘭</w:t>
            </w:r>
          </w:p>
          <w:p w:rsidR="000B2E67" w:rsidRPr="000111BC" w:rsidRDefault="000B2E67" w:rsidP="000B2E67">
            <w:pPr>
              <w:jc w:val="both"/>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Ireland</w:t>
            </w:r>
          </w:p>
        </w:tc>
        <w:tc>
          <w:tcPr>
            <w:tcW w:w="3702" w:type="dxa"/>
            <w:shd w:val="clear" w:color="auto" w:fill="auto"/>
            <w:vAlign w:val="center"/>
            <w:hideMark/>
          </w:tcPr>
          <w:p w:rsidR="000B2E67" w:rsidRPr="000111BC" w:rsidRDefault="000B2E67" w:rsidP="000B2E67">
            <w:pPr>
              <w:widowControl/>
              <w:jc w:val="both"/>
              <w:rPr>
                <w:rFonts w:ascii="Calibri" w:eastAsia="新細明體" w:hAnsi="Calibri" w:cs="Calibri"/>
                <w:color w:val="000000" w:themeColor="text1"/>
                <w:kern w:val="0"/>
                <w:szCs w:val="24"/>
              </w:rPr>
            </w:pPr>
            <w:r w:rsidRPr="000111BC">
              <w:rPr>
                <w:rFonts w:ascii="Calibri" w:eastAsia="新細明體" w:hAnsi="Calibri" w:cs="Calibri"/>
                <w:color w:val="000000" w:themeColor="text1"/>
                <w:kern w:val="0"/>
                <w:szCs w:val="24"/>
              </w:rPr>
              <w:t xml:space="preserve">The Wild Atlantic Way is a sensational journey from the most Northern point to the most Southern point of Ireland. It was established to boost Regional Revitizlation so the tourism along the West coast would improve and stop population decline. With this in mind it lead to the problem of pollution. </w:t>
            </w:r>
            <w:r w:rsidRPr="000111BC">
              <w:rPr>
                <w:rFonts w:ascii="細明體" w:eastAsia="細明體" w:hAnsi="細明體" w:cs="Calibri" w:hint="eastAsia"/>
                <w:color w:val="000000" w:themeColor="text1"/>
                <w:kern w:val="0"/>
                <w:szCs w:val="24"/>
              </w:rPr>
              <w:t>為了促進西岸觀光及防止人口流失，政府發展了高威之路（</w:t>
            </w:r>
            <w:r w:rsidRPr="000111BC">
              <w:rPr>
                <w:rFonts w:ascii="Calibri" w:eastAsia="新細明體" w:hAnsi="Calibri" w:cs="Calibri"/>
                <w:color w:val="000000" w:themeColor="text1"/>
                <w:kern w:val="0"/>
                <w:szCs w:val="24"/>
              </w:rPr>
              <w:t xml:space="preserve"> Wild Atlantic Way</w:t>
            </w:r>
            <w:r w:rsidRPr="000111BC">
              <w:rPr>
                <w:rFonts w:ascii="細明體" w:eastAsia="細明體" w:hAnsi="細明體" w:cs="Calibri" w:hint="eastAsia"/>
                <w:color w:val="000000" w:themeColor="text1"/>
                <w:kern w:val="0"/>
                <w:szCs w:val="24"/>
              </w:rPr>
              <w:t>），卻因此帶來汙染問題</w:t>
            </w:r>
          </w:p>
          <w:p w:rsidR="000B2E67" w:rsidRPr="000111BC" w:rsidRDefault="000B2E67" w:rsidP="000B2E67">
            <w:pPr>
              <w:jc w:val="both"/>
              <w:rPr>
                <w:rFonts w:ascii="Calibri" w:eastAsia="新細明體" w:hAnsi="Calibri" w:cs="Calibri"/>
                <w:color w:val="000000" w:themeColor="text1"/>
                <w:kern w:val="0"/>
                <w:szCs w:val="24"/>
              </w:rPr>
            </w:pPr>
            <w:r w:rsidRPr="000111BC">
              <w:rPr>
                <w:rFonts w:ascii="Arial" w:eastAsia="新細明體" w:hAnsi="Arial" w:cs="Arial"/>
                <w:color w:val="000000" w:themeColor="text1"/>
                <w:kern w:val="0"/>
                <w:szCs w:val="24"/>
              </w:rPr>
              <w:t xml:space="preserve">　</w:t>
            </w:r>
          </w:p>
        </w:tc>
        <w:tc>
          <w:tcPr>
            <w:tcW w:w="3836" w:type="dxa"/>
            <w:shd w:val="clear" w:color="auto" w:fill="auto"/>
            <w:vAlign w:val="center"/>
            <w:hideMark/>
          </w:tcPr>
          <w:p w:rsidR="000B2E67" w:rsidRPr="000111BC" w:rsidRDefault="000B2E67" w:rsidP="000B2E67">
            <w:pPr>
              <w:widowControl/>
              <w:jc w:val="both"/>
              <w:rPr>
                <w:rFonts w:ascii="Calibri" w:eastAsia="新細明體" w:hAnsi="Calibri" w:cs="Calibri"/>
                <w:color w:val="000000" w:themeColor="text1"/>
                <w:kern w:val="0"/>
                <w:szCs w:val="24"/>
              </w:rPr>
            </w:pPr>
            <w:r w:rsidRPr="000111BC">
              <w:rPr>
                <w:rFonts w:ascii="Calibri" w:eastAsia="新細明體" w:hAnsi="Calibri" w:cs="Calibri"/>
                <w:color w:val="000000" w:themeColor="text1"/>
                <w:kern w:val="0"/>
                <w:szCs w:val="24"/>
              </w:rPr>
              <w:t xml:space="preserve">Long Term - Educational learning for youths in school ages 4-18 by rewarding them with Green Flags if they complete tasks also putting reciclable shaped animals bins in danger by litter. Short Term - Rewards card, travel along the WAW and earn rewards as you visit tourist spots this will create a sense of community and being both the locals and tourists together. </w:t>
            </w:r>
            <w:r w:rsidRPr="000111BC">
              <w:rPr>
                <w:rFonts w:ascii="細明體" w:eastAsia="細明體" w:hAnsi="細明體" w:cs="Calibri" w:hint="eastAsia"/>
                <w:color w:val="000000" w:themeColor="text1"/>
                <w:kern w:val="0"/>
                <w:szCs w:val="24"/>
              </w:rPr>
              <w:t>針對4-18歲學童發展長期教育，採取獎勵機制。短期解決方案則針對民眾進行教育與獎勵機制。</w:t>
            </w:r>
          </w:p>
          <w:p w:rsidR="000B2E67" w:rsidRPr="000111BC" w:rsidRDefault="000B2E67" w:rsidP="000B2E67">
            <w:pPr>
              <w:jc w:val="both"/>
              <w:rPr>
                <w:rFonts w:ascii="Calibri" w:eastAsia="新細明體" w:hAnsi="Calibri" w:cs="Calibri"/>
                <w:color w:val="000000" w:themeColor="text1"/>
                <w:kern w:val="0"/>
                <w:szCs w:val="24"/>
              </w:rPr>
            </w:pPr>
            <w:r w:rsidRPr="000111BC">
              <w:rPr>
                <w:rFonts w:ascii="Arial" w:eastAsia="新細明體" w:hAnsi="Arial" w:cs="Arial"/>
                <w:color w:val="000000" w:themeColor="text1"/>
                <w:kern w:val="0"/>
                <w:szCs w:val="24"/>
              </w:rPr>
              <w:t xml:space="preserve">　</w:t>
            </w:r>
          </w:p>
        </w:tc>
      </w:tr>
      <w:tr w:rsidR="000B2E67" w:rsidRPr="000111BC" w:rsidTr="000B2E67">
        <w:trPr>
          <w:trHeight w:val="6830"/>
        </w:trPr>
        <w:tc>
          <w:tcPr>
            <w:tcW w:w="3435" w:type="dxa"/>
            <w:vAlign w:val="center"/>
          </w:tcPr>
          <w:p w:rsidR="000B2E67" w:rsidRDefault="000B2E67" w:rsidP="000B2E67">
            <w:pPr>
              <w:widowControl/>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lastRenderedPageBreak/>
              <w:t>智慧生活</w:t>
            </w:r>
          </w:p>
          <w:p w:rsidR="000B2E67" w:rsidRPr="000111BC" w:rsidRDefault="000B2E67" w:rsidP="000B2E67">
            <w:pPr>
              <w:widowControl/>
              <w:rPr>
                <w:rFonts w:ascii="Arial" w:eastAsia="新細明體" w:hAnsi="Arial" w:cs="Arial" w:hint="eastAsia"/>
                <w:color w:val="000000" w:themeColor="text1"/>
                <w:kern w:val="0"/>
                <w:szCs w:val="24"/>
              </w:rPr>
            </w:pPr>
            <w:r>
              <w:rPr>
                <w:rFonts w:ascii="Arial" w:eastAsia="新細明體" w:hAnsi="Arial" w:cs="Arial" w:hint="eastAsia"/>
                <w:color w:val="000000" w:themeColor="text1"/>
                <w:kern w:val="0"/>
                <w:szCs w:val="24"/>
              </w:rPr>
              <w:t>Smart Living</w:t>
            </w:r>
          </w:p>
        </w:tc>
        <w:tc>
          <w:tcPr>
            <w:tcW w:w="3695" w:type="dxa"/>
            <w:shd w:val="clear" w:color="auto" w:fill="auto"/>
            <w:vAlign w:val="center"/>
            <w:hideMark/>
          </w:tcPr>
          <w:p w:rsidR="000B2E67" w:rsidRPr="000111BC" w:rsidRDefault="000B2E67" w:rsidP="000B2E67">
            <w:pPr>
              <w:widowControl/>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馬來西亞</w:t>
            </w:r>
          </w:p>
          <w:p w:rsidR="000B2E67" w:rsidRPr="000111BC" w:rsidRDefault="000B2E67" w:rsidP="000B2E67">
            <w:pPr>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Malaysia</w:t>
            </w:r>
          </w:p>
        </w:tc>
        <w:tc>
          <w:tcPr>
            <w:tcW w:w="3702" w:type="dxa"/>
            <w:shd w:val="clear" w:color="auto" w:fill="auto"/>
            <w:vAlign w:val="center"/>
            <w:hideMark/>
          </w:tcPr>
          <w:p w:rsidR="000B2E67" w:rsidRPr="000111BC" w:rsidRDefault="000B2E67" w:rsidP="000B2E67">
            <w:pPr>
              <w:widowControl/>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 xml:space="preserve">In 2019, Malaysia’s total population has reached 32.6 million. 75 percent of the total population lived in urban areas and cities. Problems such as congestion, pollution, inefficient use of resources are the major challenges in the next generation. The question here is, how to integrate ICT or IoT into better urban management with smart city concept?  </w:t>
            </w:r>
            <w:r w:rsidRPr="000111BC">
              <w:rPr>
                <w:rFonts w:ascii="細明體" w:eastAsia="細明體" w:hAnsi="細明體" w:cs="Arial" w:hint="eastAsia"/>
                <w:color w:val="000000" w:themeColor="text1"/>
                <w:kern w:val="0"/>
                <w:szCs w:val="24"/>
              </w:rPr>
              <w:t>成長的人口為城市帶來許多問題，例如交通壅塞、汙染、資源不足等等。問題意識：如何結合智慧生活相關技術，例如通訊資訊科技或物聯網科技處理城市問題？</w:t>
            </w:r>
          </w:p>
          <w:p w:rsidR="000B2E67" w:rsidRPr="000111BC" w:rsidRDefault="000B2E67" w:rsidP="000B2E67">
            <w:pPr>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 xml:space="preserve">　</w:t>
            </w:r>
          </w:p>
        </w:tc>
        <w:tc>
          <w:tcPr>
            <w:tcW w:w="3836" w:type="dxa"/>
            <w:shd w:val="clear" w:color="auto" w:fill="auto"/>
            <w:vAlign w:val="center"/>
            <w:hideMark/>
          </w:tcPr>
          <w:p w:rsidR="000B2E67" w:rsidRPr="000111BC" w:rsidRDefault="000B2E67" w:rsidP="000B2E67">
            <w:pPr>
              <w:widowControl/>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 xml:space="preserve">Our action plan will focus on traffic congestion. We propose to design a confined space with adoption of high technology facilities and a handy application. </w:t>
            </w:r>
            <w:r w:rsidRPr="000111BC">
              <w:rPr>
                <w:rFonts w:ascii="細明體" w:eastAsia="細明體" w:hAnsi="細明體" w:cs="Arial" w:hint="eastAsia"/>
                <w:color w:val="000000" w:themeColor="text1"/>
                <w:kern w:val="0"/>
                <w:szCs w:val="24"/>
              </w:rPr>
              <w:t>將重點關注於解決交通壅塞問題。在某個限定區域應用高科技工具及易於使用的應用程式。</w:t>
            </w:r>
          </w:p>
          <w:p w:rsidR="000B2E67" w:rsidRPr="000111BC" w:rsidRDefault="000B2E67" w:rsidP="000B2E67">
            <w:pPr>
              <w:rPr>
                <w:rFonts w:ascii="Arial" w:eastAsia="新細明體" w:hAnsi="Arial" w:cs="Arial"/>
                <w:color w:val="000000" w:themeColor="text1"/>
                <w:kern w:val="0"/>
                <w:szCs w:val="24"/>
              </w:rPr>
            </w:pPr>
            <w:r w:rsidRPr="000111BC">
              <w:rPr>
                <w:rFonts w:ascii="Arial" w:eastAsia="新細明體" w:hAnsi="Arial" w:cs="Arial"/>
                <w:color w:val="000000" w:themeColor="text1"/>
                <w:kern w:val="0"/>
                <w:szCs w:val="24"/>
              </w:rPr>
              <w:t xml:space="preserve">　</w:t>
            </w:r>
          </w:p>
        </w:tc>
      </w:tr>
    </w:tbl>
    <w:p w:rsidR="00CD62C4" w:rsidRPr="000111BC" w:rsidRDefault="00794321">
      <w:pPr>
        <w:rPr>
          <w:color w:val="000000" w:themeColor="text1"/>
        </w:rPr>
      </w:pPr>
    </w:p>
    <w:sectPr w:rsidR="00CD62C4" w:rsidRPr="000111BC" w:rsidSect="000111BC">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21" w:rsidRDefault="00794321" w:rsidP="000B2E67">
      <w:r>
        <w:separator/>
      </w:r>
    </w:p>
  </w:endnote>
  <w:endnote w:type="continuationSeparator" w:id="0">
    <w:p w:rsidR="00794321" w:rsidRDefault="00794321" w:rsidP="000B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21" w:rsidRDefault="00794321" w:rsidP="000B2E67">
      <w:r>
        <w:separator/>
      </w:r>
    </w:p>
  </w:footnote>
  <w:footnote w:type="continuationSeparator" w:id="0">
    <w:p w:rsidR="00794321" w:rsidRDefault="00794321" w:rsidP="000B2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C"/>
    <w:rsid w:val="000111BC"/>
    <w:rsid w:val="000B2E67"/>
    <w:rsid w:val="00794321"/>
    <w:rsid w:val="007D62C5"/>
    <w:rsid w:val="00C01845"/>
    <w:rsid w:val="00CF53E8"/>
    <w:rsid w:val="00F12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6F2D1"/>
  <w15:chartTrackingRefBased/>
  <w15:docId w15:val="{8DE38142-60AB-4BF2-B7E4-93E14365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E67"/>
    <w:pPr>
      <w:tabs>
        <w:tab w:val="center" w:pos="4153"/>
        <w:tab w:val="right" w:pos="8306"/>
      </w:tabs>
      <w:snapToGrid w:val="0"/>
    </w:pPr>
    <w:rPr>
      <w:sz w:val="20"/>
      <w:szCs w:val="20"/>
    </w:rPr>
  </w:style>
  <w:style w:type="character" w:customStyle="1" w:styleId="a4">
    <w:name w:val="頁首 字元"/>
    <w:basedOn w:val="a0"/>
    <w:link w:val="a3"/>
    <w:uiPriority w:val="99"/>
    <w:rsid w:val="000B2E67"/>
    <w:rPr>
      <w:sz w:val="20"/>
      <w:szCs w:val="20"/>
    </w:rPr>
  </w:style>
  <w:style w:type="paragraph" w:styleId="a5">
    <w:name w:val="footer"/>
    <w:basedOn w:val="a"/>
    <w:link w:val="a6"/>
    <w:uiPriority w:val="99"/>
    <w:unhideWhenUsed/>
    <w:rsid w:val="000B2E67"/>
    <w:pPr>
      <w:tabs>
        <w:tab w:val="center" w:pos="4153"/>
        <w:tab w:val="right" w:pos="8306"/>
      </w:tabs>
      <w:snapToGrid w:val="0"/>
    </w:pPr>
    <w:rPr>
      <w:sz w:val="20"/>
      <w:szCs w:val="20"/>
    </w:rPr>
  </w:style>
  <w:style w:type="character" w:customStyle="1" w:styleId="a6">
    <w:name w:val="頁尾 字元"/>
    <w:basedOn w:val="a0"/>
    <w:link w:val="a5"/>
    <w:uiPriority w:val="99"/>
    <w:rsid w:val="000B2E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00537">
      <w:bodyDiv w:val="1"/>
      <w:marLeft w:val="0"/>
      <w:marRight w:val="0"/>
      <w:marTop w:val="0"/>
      <w:marBottom w:val="0"/>
      <w:divBdr>
        <w:top w:val="none" w:sz="0" w:space="0" w:color="auto"/>
        <w:left w:val="none" w:sz="0" w:space="0" w:color="auto"/>
        <w:bottom w:val="none" w:sz="0" w:space="0" w:color="auto"/>
        <w:right w:val="none" w:sz="0" w:space="0" w:color="auto"/>
      </w:divBdr>
    </w:div>
    <w:div w:id="1465464231">
      <w:bodyDiv w:val="1"/>
      <w:marLeft w:val="0"/>
      <w:marRight w:val="0"/>
      <w:marTop w:val="0"/>
      <w:marBottom w:val="0"/>
      <w:divBdr>
        <w:top w:val="none" w:sz="0" w:space="0" w:color="auto"/>
        <w:left w:val="none" w:sz="0" w:space="0" w:color="auto"/>
        <w:bottom w:val="none" w:sz="0" w:space="0" w:color="auto"/>
        <w:right w:val="none" w:sz="0" w:space="0" w:color="auto"/>
      </w:divBdr>
    </w:div>
    <w:div w:id="20799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BB21-F770-4BA5-BA57-FFC77639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idea300</dc:creator>
  <cp:keywords/>
  <dc:description/>
  <cp:lastModifiedBy>idea300</cp:lastModifiedBy>
  <cp:revision>3</cp:revision>
  <dcterms:created xsi:type="dcterms:W3CDTF">2019-11-10T09:37:00Z</dcterms:created>
  <dcterms:modified xsi:type="dcterms:W3CDTF">2019-11-10T09:39:00Z</dcterms:modified>
</cp:coreProperties>
</file>