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E1" w:rsidRDefault="00D24D5D" w:rsidP="007353FA">
      <w:pPr>
        <w:widowControl/>
        <w:spacing w:beforeLines="30" w:before="108" w:line="500" w:lineRule="exact"/>
        <w:jc w:val="center"/>
        <w:rPr>
          <w:rFonts w:ascii="標楷體" w:eastAsia="標楷體" w:hAnsi="標楷體"/>
          <w:b/>
          <w:sz w:val="32"/>
          <w:szCs w:val="32"/>
        </w:rPr>
      </w:pPr>
      <w:r>
        <w:rPr>
          <w:rFonts w:ascii="標楷體" w:eastAsia="標楷體" w:hAnsi="標楷體" w:hint="eastAsia"/>
          <w:b/>
          <w:sz w:val="32"/>
          <w:szCs w:val="32"/>
        </w:rPr>
        <w:t>運動產業發</w:t>
      </w:r>
      <w:r w:rsidR="00471DE3">
        <w:rPr>
          <w:rFonts w:ascii="標楷體" w:eastAsia="標楷體" w:hAnsi="標楷體" w:hint="eastAsia"/>
          <w:b/>
          <w:sz w:val="32"/>
          <w:szCs w:val="32"/>
        </w:rPr>
        <w:t>展</w:t>
      </w:r>
      <w:r>
        <w:rPr>
          <w:rFonts w:ascii="標楷體" w:eastAsia="標楷體" w:hAnsi="標楷體" w:hint="eastAsia"/>
          <w:b/>
          <w:sz w:val="32"/>
          <w:szCs w:val="32"/>
        </w:rPr>
        <w:t>條</w:t>
      </w:r>
      <w:r w:rsidR="00471DE3">
        <w:rPr>
          <w:rFonts w:ascii="標楷體" w:eastAsia="標楷體" w:hAnsi="標楷體" w:hint="eastAsia"/>
          <w:b/>
          <w:sz w:val="32"/>
          <w:szCs w:val="32"/>
        </w:rPr>
        <w:t>例</w:t>
      </w:r>
    </w:p>
    <w:p w:rsidR="008F22B3" w:rsidRPr="00B434E1" w:rsidRDefault="00D51E37" w:rsidP="00B434E1">
      <w:pPr>
        <w:widowControl/>
        <w:spacing w:beforeLines="30" w:before="108" w:line="500" w:lineRule="exact"/>
        <w:jc w:val="right"/>
        <w:rPr>
          <w:rFonts w:ascii="Times New Roman" w:eastAsia="標楷體" w:hAnsi="Times New Roman"/>
          <w:szCs w:val="24"/>
        </w:rPr>
      </w:pPr>
      <w:r>
        <w:rPr>
          <w:rFonts w:ascii="Times New Roman" w:eastAsia="標楷體" w:hAnsi="Times New Roman"/>
          <w:szCs w:val="24"/>
        </w:rPr>
        <w:t>106</w:t>
      </w:r>
      <w:r>
        <w:rPr>
          <w:rFonts w:ascii="Times New Roman" w:eastAsia="標楷體" w:hAnsi="Times New Roman" w:hint="eastAsia"/>
          <w:szCs w:val="24"/>
        </w:rPr>
        <w:t>1107</w:t>
      </w:r>
    </w:p>
    <w:p w:rsidR="00AC5A18" w:rsidRPr="007353FA" w:rsidRDefault="00AC5A18" w:rsidP="007353FA">
      <w:pPr>
        <w:widowControl/>
        <w:spacing w:beforeLines="30" w:before="108" w:line="500" w:lineRule="exact"/>
        <w:ind w:left="960" w:hangingChars="300" w:hanging="960"/>
        <w:rPr>
          <w:rFonts w:ascii="標楷體" w:eastAsia="標楷體" w:hAnsi="標楷體"/>
          <w:sz w:val="32"/>
          <w:szCs w:val="32"/>
        </w:rPr>
      </w:pPr>
      <w:r w:rsidRPr="007353FA">
        <w:rPr>
          <w:rFonts w:ascii="標楷體" w:eastAsia="標楷體" w:hAnsi="標楷體" w:hint="eastAsia"/>
          <w:sz w:val="32"/>
          <w:szCs w:val="32"/>
        </w:rPr>
        <w:t>第一條 為促進與保障國民之體育參與，健全國內體育環境，推動國家體育政策及運動發展，特制定本法。</w:t>
      </w:r>
    </w:p>
    <w:p w:rsidR="00AC5A18" w:rsidRPr="007353FA"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第二條　本條例所稱主管機關：在中央為教育部；在直轄市為直轄市政府；在縣（市）為縣（市）政府。</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第三條　本條例所稱運動事業，指從事運動產業之法人、合夥、獨資或個人。</w:t>
      </w:r>
    </w:p>
    <w:p w:rsidR="00E43ACF" w:rsidRPr="007353FA" w:rsidRDefault="00D24D5D" w:rsidP="000F6DF4">
      <w:pPr>
        <w:widowControl/>
        <w:spacing w:beforeLines="30" w:before="108" w:line="500" w:lineRule="exact"/>
        <w:ind w:leftChars="400" w:left="960" w:firstLineChars="98" w:firstLine="314"/>
        <w:rPr>
          <w:rFonts w:ascii="標楷體" w:eastAsia="標楷體" w:hAnsi="標楷體"/>
          <w:sz w:val="32"/>
          <w:szCs w:val="32"/>
        </w:rPr>
      </w:pPr>
      <w:r w:rsidRPr="00D24D5D">
        <w:rPr>
          <w:rFonts w:ascii="標楷體" w:eastAsia="標楷體" w:hAnsi="標楷體" w:hint="eastAsia"/>
          <w:sz w:val="32"/>
          <w:szCs w:val="32"/>
        </w:rPr>
        <w:t>本條例所稱體育團體，指以體育推展為宗旨，依法設立之非營利性組織。</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第四條　本條例所稱運動產業，指提供民眾從事運動或運動觀賞所需產品或服務，或可促進運動推展之支援性服務，而具有增進國民身心健康、提升體能及生活品質之下列產業：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一、職業或業餘運動業。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二、運動休閒教育服務業。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三、運動傳播媒體或資訊出版業。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四、運動表演業。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五、運動旅遊業。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六、電子競技業。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七、運動博弈業。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八、運動經紀、管理顧問或行政管理業。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九、運動場館或設施營建業。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十、運動用品或器材製造、批發及零售業。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十一、運動用品或器材租賃業。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lastRenderedPageBreak/>
        <w:t>十二、運動保健業。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十三、其他經中央主管機關認定之產業。</w:t>
      </w:r>
    </w:p>
    <w:p w:rsidR="00E43ACF" w:rsidRPr="007353FA" w:rsidRDefault="00D24D5D" w:rsidP="00D24D5D">
      <w:pPr>
        <w:widowControl/>
        <w:spacing w:beforeLines="30" w:before="108" w:line="500" w:lineRule="exact"/>
        <w:ind w:leftChars="354" w:left="1132" w:hangingChars="88" w:hanging="282"/>
        <w:rPr>
          <w:rFonts w:ascii="標楷體" w:eastAsia="標楷體" w:hAnsi="標楷體"/>
          <w:sz w:val="32"/>
          <w:szCs w:val="32"/>
        </w:rPr>
      </w:pPr>
      <w:r w:rsidRPr="00D24D5D">
        <w:rPr>
          <w:rFonts w:ascii="標楷體" w:eastAsia="標楷體" w:hAnsi="標楷體" w:hint="eastAsia"/>
          <w:sz w:val="32"/>
          <w:szCs w:val="32"/>
        </w:rPr>
        <w:t xml:space="preserve">      前項各款產業內容及範圍，由中央主管機關會同各該中央目的事業主管機關定之。</w:t>
      </w:r>
    </w:p>
    <w:p w:rsid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第五條　本條例所稱大型運動設施，指因供重大國際賽會使用且在一定規模以上之運動建設；其範圍，由中央主管機關會同中央目的事業主管機關定之。</w:t>
      </w:r>
    </w:p>
    <w:p w:rsid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第六條　中央主管機關應會商中央目的事業主管機關擬訂運動產業發展方向及產業發展計畫，每四年檢討修正，報請行政院核定。</w:t>
      </w:r>
    </w:p>
    <w:p w:rsidR="005F65DE" w:rsidRPr="005F65DE" w:rsidRDefault="005F65DE" w:rsidP="005F65DE">
      <w:pPr>
        <w:widowControl/>
        <w:spacing w:beforeLines="30" w:before="108" w:line="500" w:lineRule="exact"/>
        <w:ind w:leftChars="400" w:left="960" w:firstLineChars="231" w:firstLine="739"/>
        <w:rPr>
          <w:rFonts w:ascii="標楷體" w:eastAsia="標楷體" w:hAnsi="標楷體"/>
          <w:sz w:val="32"/>
          <w:szCs w:val="32"/>
        </w:rPr>
      </w:pPr>
      <w:r w:rsidRPr="005F65DE">
        <w:rPr>
          <w:rFonts w:ascii="標楷體" w:eastAsia="標楷體" w:hAnsi="標楷體" w:hint="eastAsia"/>
          <w:sz w:val="32"/>
          <w:szCs w:val="32"/>
        </w:rPr>
        <w:t>中央主管機關應會商中央目的事業主管機關建置運動產業統計資料庫，並定期公告之。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第七條　為促進職業運動產業之發展，各級政府與公營事業得配合國家體育政策及運動產業發展計畫進行投資，其股份比例不得超過百分之五十。</w:t>
      </w:r>
    </w:p>
    <w:p w:rsidR="00DD5DB0" w:rsidRPr="007353FA" w:rsidRDefault="00D24D5D" w:rsidP="00D24D5D">
      <w:pPr>
        <w:widowControl/>
        <w:spacing w:beforeLines="30" w:before="108" w:line="500" w:lineRule="exact"/>
        <w:ind w:leftChars="400" w:left="960" w:firstLineChars="231" w:firstLine="739"/>
        <w:rPr>
          <w:rFonts w:ascii="標楷體" w:eastAsia="標楷體" w:hAnsi="標楷體"/>
          <w:sz w:val="32"/>
          <w:szCs w:val="32"/>
        </w:rPr>
      </w:pPr>
      <w:r w:rsidRPr="00D24D5D">
        <w:rPr>
          <w:rFonts w:ascii="標楷體" w:eastAsia="標楷體" w:hAnsi="標楷體" w:hint="eastAsia"/>
          <w:sz w:val="32"/>
          <w:szCs w:val="32"/>
        </w:rPr>
        <w:t>前項投資之規範及獎勵辦法，由中央主管機關定之。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第八條  主管機關為推展運動產業發展，對於下列事項，得採取適當之輔導或獎助措施：</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一、建立異業合作模式，提供創新商品或創新服務。</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二、拓展國際市場、建立自有品牌。</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三、辦理運動產業產學合作、創業育成及輔導。</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四、培植運動產業專業人才。</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五、建立產業媒合及交流資訊平台、蒐集產業市場資訊。</w:t>
      </w:r>
    </w:p>
    <w:p w:rsidR="00D24D5D" w:rsidRPr="00D24D5D" w:rsidRDefault="00D24D5D" w:rsidP="00D24D5D">
      <w:pPr>
        <w:widowControl/>
        <w:spacing w:beforeLines="30" w:before="108" w:line="500" w:lineRule="exact"/>
        <w:ind w:leftChars="413" w:left="1698" w:hangingChars="221" w:hanging="707"/>
        <w:rPr>
          <w:rFonts w:ascii="標楷體" w:eastAsia="標楷體" w:hAnsi="標楷體"/>
          <w:sz w:val="32"/>
          <w:szCs w:val="32"/>
        </w:rPr>
      </w:pPr>
      <w:r w:rsidRPr="00D24D5D">
        <w:rPr>
          <w:rFonts w:ascii="標楷體" w:eastAsia="標楷體" w:hAnsi="標楷體" w:hint="eastAsia"/>
          <w:sz w:val="32"/>
          <w:szCs w:val="32"/>
        </w:rPr>
        <w:t>六、運用資訊科技提升運動產業服務品質或提高運動產業競爭力。</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七、提供運動產業貸款利息補貼及信用保證。</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lastRenderedPageBreak/>
        <w:t>八、提升重大國際賽事之觀賞人口。</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九、民眾從事觀賞性或參與性運動消費支出。</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十、整合地方資源推動運動產業發展。</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十一、運動場館設施之興整建與營運。</w:t>
      </w:r>
    </w:p>
    <w:p w:rsidR="00D24D5D" w:rsidRPr="00D24D5D" w:rsidRDefault="00D24D5D" w:rsidP="00D24D5D">
      <w:pPr>
        <w:widowControl/>
        <w:spacing w:beforeLines="30" w:before="108" w:line="500" w:lineRule="exact"/>
        <w:ind w:leftChars="414" w:left="1986" w:hangingChars="310" w:hanging="992"/>
        <w:rPr>
          <w:rFonts w:ascii="標楷體" w:eastAsia="標楷體" w:hAnsi="標楷體"/>
          <w:sz w:val="32"/>
          <w:szCs w:val="32"/>
        </w:rPr>
      </w:pPr>
      <w:r w:rsidRPr="00D24D5D">
        <w:rPr>
          <w:rFonts w:ascii="標楷體" w:eastAsia="標楷體" w:hAnsi="標楷體" w:hint="eastAsia"/>
          <w:sz w:val="32"/>
          <w:szCs w:val="32"/>
        </w:rPr>
        <w:t>十二、推展運動產業研發、生產、行銷、推廣及授權等產業活動。</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十三、其他促進運動產業發展之事項。</w:t>
      </w:r>
    </w:p>
    <w:p w:rsidR="00E43ACF"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前項輔導或獎助對象、資格條件、審核基準、申請程序、獎助方式及其他相關事項之辦法，由中央主管機關會商各中央目的事業主管機關定之。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第九條　中央主管機關對運動事業或營利事業聘用績優運動選手從事有助運動推展或提供運動相關服務等事項，其薪資支出金額百分之三十限度內，得專案編列經費補助之，每人累計補助期間以五年為限。</w:t>
      </w:r>
    </w:p>
    <w:p w:rsidR="00E43ACF"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前項運動事業、營利事業及績優運動選手之對象、範圍、認定基準、補助之程序、額度、方式、限制、撤銷或廢止之事由、追繳及其他應遵行相關事項之辦法，由中央主管機關定之。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第十條　為培育運動事業人才，政府應充分開發、運用運動事業人力資源，整合各種教學與研究資源，鼓勵大專校院及運動產業進行產官學合作研究及人才培訓。</w:t>
      </w:r>
    </w:p>
    <w:p w:rsidR="007916CE"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政府得協助地方政府、大專校院及運動事業充實運動事業人才或體育專業人員，並鼓勵其建置相關設施，開設相關課程，或興辦競賽、觀摩、創作，與展演。</w:t>
      </w:r>
    </w:p>
    <w:p w:rsidR="00D24D5D" w:rsidRPr="00D24D5D" w:rsidRDefault="00D24D5D" w:rsidP="00D24D5D">
      <w:pPr>
        <w:widowControl/>
        <w:spacing w:beforeLines="30" w:before="108" w:line="500" w:lineRule="exact"/>
        <w:ind w:left="1280" w:hangingChars="400" w:hanging="1280"/>
        <w:rPr>
          <w:rFonts w:ascii="標楷體" w:eastAsia="標楷體" w:hAnsi="標楷體"/>
          <w:sz w:val="32"/>
          <w:szCs w:val="32"/>
        </w:rPr>
      </w:pPr>
      <w:r w:rsidRPr="00D24D5D">
        <w:rPr>
          <w:rFonts w:ascii="標楷體" w:eastAsia="標楷體" w:hAnsi="標楷體" w:hint="eastAsia"/>
          <w:sz w:val="32"/>
          <w:szCs w:val="32"/>
        </w:rPr>
        <w:t>第十一條  各中央目的事業主管機關得依運動產業發展需要，委託或輔導補助民間機構訂定運動產業人才職能基準，並促進國際</w:t>
      </w:r>
      <w:r w:rsidRPr="00D24D5D">
        <w:rPr>
          <w:rFonts w:ascii="標楷體" w:eastAsia="標楷體" w:hAnsi="標楷體" w:hint="eastAsia"/>
          <w:sz w:val="32"/>
          <w:szCs w:val="32"/>
        </w:rPr>
        <w:lastRenderedPageBreak/>
        <w:t>相互承認，以作為民間單位人才培訓、延攬及能力鑑定之參考。</w:t>
      </w:r>
    </w:p>
    <w:p w:rsidR="00E43ACF" w:rsidRPr="007353FA" w:rsidRDefault="00D24D5D" w:rsidP="00D24D5D">
      <w:pPr>
        <w:widowControl/>
        <w:spacing w:beforeLines="30" w:before="108" w:line="500" w:lineRule="exact"/>
        <w:ind w:leftChars="533" w:left="1279" w:firstLineChars="220" w:firstLine="704"/>
        <w:rPr>
          <w:rFonts w:ascii="標楷體" w:eastAsia="標楷體" w:hAnsi="標楷體"/>
          <w:sz w:val="32"/>
          <w:szCs w:val="32"/>
        </w:rPr>
      </w:pPr>
      <w:r w:rsidRPr="00D24D5D">
        <w:rPr>
          <w:rFonts w:ascii="標楷體" w:eastAsia="標楷體" w:hAnsi="標楷體" w:hint="eastAsia"/>
          <w:sz w:val="32"/>
          <w:szCs w:val="32"/>
        </w:rPr>
        <w:t>前項委託或輔導補助之對象、資格條件、審核基準、申請程序、核定機關及其他相關事項之辦法，由各中央目的事業主管機關定之。</w:t>
      </w:r>
    </w:p>
    <w:p w:rsidR="00D24D5D" w:rsidRPr="00D24D5D" w:rsidRDefault="00D24D5D" w:rsidP="00D24D5D">
      <w:pPr>
        <w:widowControl/>
        <w:spacing w:beforeLines="30" w:before="108" w:line="500" w:lineRule="exact"/>
        <w:ind w:left="1280" w:hangingChars="400" w:hanging="1280"/>
        <w:rPr>
          <w:rFonts w:ascii="標楷體" w:eastAsia="標楷體" w:hAnsi="標楷體"/>
          <w:sz w:val="32"/>
          <w:szCs w:val="32"/>
        </w:rPr>
      </w:pPr>
      <w:r w:rsidRPr="00D24D5D">
        <w:rPr>
          <w:rFonts w:ascii="標楷體" w:eastAsia="標楷體" w:hAnsi="標楷體" w:hint="eastAsia"/>
          <w:sz w:val="32"/>
          <w:szCs w:val="32"/>
        </w:rPr>
        <w:t>第十二條　為培養國民運動習慣，並振興運動產業，主管機關得編列預算補助學生參與或觀賞運動競技或表演。</w:t>
      </w:r>
    </w:p>
    <w:p w:rsidR="00D24D5D" w:rsidRPr="00D24D5D" w:rsidRDefault="00D24D5D" w:rsidP="00656135">
      <w:pPr>
        <w:widowControl/>
        <w:spacing w:beforeLines="30" w:before="108" w:line="500" w:lineRule="exact"/>
        <w:ind w:leftChars="533" w:left="1279" w:firstLineChars="220" w:firstLine="704"/>
        <w:rPr>
          <w:rFonts w:ascii="標楷體" w:eastAsia="標楷體" w:hAnsi="標楷體"/>
          <w:sz w:val="32"/>
          <w:szCs w:val="32"/>
        </w:rPr>
      </w:pPr>
      <w:r w:rsidRPr="00D24D5D">
        <w:rPr>
          <w:rFonts w:ascii="標楷體" w:eastAsia="標楷體" w:hAnsi="標楷體" w:hint="eastAsia"/>
          <w:sz w:val="32"/>
          <w:szCs w:val="32"/>
        </w:rPr>
        <w:t>前項補助辦法，由中央主管機關定之。</w:t>
      </w:r>
    </w:p>
    <w:p w:rsidR="001A167A" w:rsidRPr="007353FA"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第十三條　中央主管機關應會同相關政府機關、金融機構及信用保證機構，建立運動產業發展投資之優惠融資管道及信用保證機制，協助運動事業取得推展運動業務所需資金。</w:t>
      </w:r>
    </w:p>
    <w:p w:rsidR="00656135" w:rsidRPr="00656135" w:rsidRDefault="00656135" w:rsidP="00DC2717">
      <w:pPr>
        <w:widowControl/>
        <w:spacing w:beforeLines="30" w:before="108" w:line="500" w:lineRule="exact"/>
        <w:ind w:left="1274" w:hangingChars="398" w:hanging="1274"/>
        <w:rPr>
          <w:rFonts w:ascii="標楷體" w:eastAsia="標楷體" w:hAnsi="標楷體"/>
          <w:sz w:val="32"/>
          <w:szCs w:val="32"/>
        </w:rPr>
      </w:pPr>
      <w:r w:rsidRPr="00656135">
        <w:rPr>
          <w:rFonts w:ascii="標楷體" w:eastAsia="標楷體" w:hAnsi="標楷體" w:hint="eastAsia"/>
          <w:sz w:val="32"/>
          <w:szCs w:val="32"/>
        </w:rPr>
        <w:t>第十四條　中央主管機關對運動事業引進運動產業相關之關鍵技術、發展國際或自有品牌，並有助運動產業之創新及發展者，得補助之，並提供相關國際市場拓展及推廣銷售之協助。</w:t>
      </w:r>
    </w:p>
    <w:p w:rsidR="0093385C" w:rsidRPr="007353FA" w:rsidRDefault="00656135" w:rsidP="00DC2717">
      <w:pPr>
        <w:widowControl/>
        <w:spacing w:beforeLines="30" w:before="108" w:line="500" w:lineRule="exact"/>
        <w:ind w:leftChars="531" w:left="1274" w:firstLineChars="221" w:firstLine="707"/>
        <w:rPr>
          <w:rFonts w:ascii="標楷體" w:eastAsia="標楷體" w:hAnsi="標楷體"/>
          <w:sz w:val="32"/>
          <w:szCs w:val="32"/>
        </w:rPr>
      </w:pPr>
      <w:r w:rsidRPr="00656135">
        <w:rPr>
          <w:rFonts w:ascii="標楷體" w:eastAsia="標楷體" w:hAnsi="標楷體" w:hint="eastAsia"/>
          <w:sz w:val="32"/>
          <w:szCs w:val="32"/>
        </w:rPr>
        <w:t>前項補助之對象、資格條件、審核基準、申請程序及其他相關事項之辦法，由中央主管機關會商經濟部定之。</w:t>
      </w:r>
    </w:p>
    <w:p w:rsidR="00656135" w:rsidRPr="00656135"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第十五條   中央主管機關應協助直轄市、縣(市)政府、公民營事業、法人或自然人依法設置運動產業園區，並會商各中央目的事業主管機關給予必要之輔導、補助、獎勵。</w:t>
      </w:r>
    </w:p>
    <w:p w:rsidR="0093385C" w:rsidRPr="007353FA" w:rsidRDefault="00656135" w:rsidP="00656135">
      <w:pPr>
        <w:widowControl/>
        <w:spacing w:beforeLines="30" w:before="108" w:line="500" w:lineRule="exact"/>
        <w:ind w:leftChars="533" w:left="1279" w:firstLineChars="220" w:firstLine="704"/>
        <w:rPr>
          <w:rFonts w:ascii="標楷體" w:eastAsia="標楷體" w:hAnsi="標楷體"/>
          <w:sz w:val="32"/>
          <w:szCs w:val="32"/>
        </w:rPr>
      </w:pPr>
      <w:r w:rsidRPr="00656135">
        <w:rPr>
          <w:rFonts w:ascii="標楷體" w:eastAsia="標楷體" w:hAnsi="標楷體" w:hint="eastAsia"/>
          <w:sz w:val="32"/>
          <w:szCs w:val="32"/>
        </w:rPr>
        <w:t>前項輔導、補助、獎勵之對象、資格條件、審核基準、申請程序及其他相關事項之辦法，由中央主管機關定之。</w:t>
      </w:r>
    </w:p>
    <w:p w:rsidR="00656135" w:rsidRPr="00656135"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第十六條　中央主管機關應提供專業輔導資源，協助重點運動賽事之申辦、籌備及運作管理。</w:t>
      </w:r>
    </w:p>
    <w:p w:rsidR="0093385C" w:rsidRPr="007353FA" w:rsidRDefault="00656135" w:rsidP="00656135">
      <w:pPr>
        <w:widowControl/>
        <w:spacing w:beforeLines="30" w:before="108" w:line="500" w:lineRule="exact"/>
        <w:ind w:leftChars="533" w:left="1279" w:firstLineChars="220" w:firstLine="704"/>
        <w:rPr>
          <w:rFonts w:ascii="標楷體" w:eastAsia="標楷體" w:hAnsi="標楷體"/>
          <w:sz w:val="32"/>
          <w:szCs w:val="32"/>
        </w:rPr>
      </w:pPr>
      <w:r w:rsidRPr="00656135">
        <w:rPr>
          <w:rFonts w:ascii="標楷體" w:eastAsia="標楷體" w:hAnsi="標楷體" w:hint="eastAsia"/>
          <w:sz w:val="32"/>
          <w:szCs w:val="32"/>
        </w:rPr>
        <w:t>前項重點運動賽事擇定及協助作業之辦法，由中央主管機關定之。</w:t>
      </w:r>
    </w:p>
    <w:p w:rsidR="00656135" w:rsidRPr="00656135" w:rsidRDefault="00656135" w:rsidP="00656135">
      <w:pPr>
        <w:spacing w:beforeLines="30" w:before="108" w:line="500" w:lineRule="exact"/>
        <w:ind w:rightChars="50" w:right="120"/>
        <w:jc w:val="both"/>
        <w:rPr>
          <w:rFonts w:ascii="標楷體" w:eastAsia="標楷體" w:hAnsi="標楷體"/>
          <w:sz w:val="32"/>
          <w:szCs w:val="32"/>
        </w:rPr>
      </w:pPr>
      <w:r w:rsidRPr="00656135">
        <w:rPr>
          <w:rFonts w:ascii="標楷體" w:eastAsia="標楷體" w:hAnsi="標楷體" w:hint="eastAsia"/>
          <w:sz w:val="32"/>
          <w:szCs w:val="32"/>
        </w:rPr>
        <w:t>第十七條  本條刪除(已列入第8條)</w:t>
      </w:r>
    </w:p>
    <w:p w:rsidR="00E43ACF" w:rsidRPr="007353FA" w:rsidRDefault="00656135" w:rsidP="00656135">
      <w:pPr>
        <w:spacing w:beforeLines="30" w:before="108" w:line="500" w:lineRule="exact"/>
        <w:ind w:rightChars="50" w:right="120"/>
        <w:jc w:val="both"/>
        <w:rPr>
          <w:rFonts w:ascii="標楷體" w:eastAsia="標楷體" w:hAnsi="標楷體"/>
          <w:sz w:val="32"/>
          <w:szCs w:val="32"/>
        </w:rPr>
      </w:pPr>
      <w:r w:rsidRPr="00656135">
        <w:rPr>
          <w:rFonts w:ascii="標楷體" w:eastAsia="標楷體" w:hAnsi="標楷體" w:hint="eastAsia"/>
          <w:sz w:val="32"/>
          <w:szCs w:val="32"/>
        </w:rPr>
        <w:lastRenderedPageBreak/>
        <w:t>第十八條  本條刪除(已列入第8條)</w:t>
      </w:r>
      <w:r w:rsidRPr="007353FA">
        <w:rPr>
          <w:rFonts w:ascii="標楷體" w:eastAsia="標楷體" w:hAnsi="標楷體"/>
          <w:sz w:val="32"/>
          <w:szCs w:val="32"/>
        </w:rPr>
        <w:t xml:space="preserve"> </w:t>
      </w:r>
    </w:p>
    <w:p w:rsidR="0093385C" w:rsidRPr="007353FA" w:rsidRDefault="00AE2F7C" w:rsidP="00656135">
      <w:pPr>
        <w:widowControl/>
        <w:spacing w:beforeLines="30" w:before="108" w:line="500" w:lineRule="exact"/>
        <w:ind w:left="1280" w:hangingChars="400" w:hanging="1280"/>
        <w:rPr>
          <w:rFonts w:ascii="標楷體" w:eastAsia="標楷體" w:hAnsi="標楷體"/>
          <w:sz w:val="32"/>
          <w:szCs w:val="32"/>
        </w:rPr>
      </w:pPr>
      <w:r w:rsidRPr="005C6391">
        <w:rPr>
          <w:rFonts w:ascii="標楷體" w:eastAsia="標楷體" w:hAnsi="標楷體" w:hint="eastAsia"/>
          <w:color w:val="000000" w:themeColor="text1"/>
          <w:sz w:val="32"/>
          <w:szCs w:val="32"/>
        </w:rPr>
        <w:t>第十九</w:t>
      </w:r>
      <w:r w:rsidR="0093385C" w:rsidRPr="005C6391">
        <w:rPr>
          <w:rFonts w:ascii="標楷體" w:eastAsia="標楷體" w:hAnsi="標楷體" w:hint="eastAsia"/>
          <w:color w:val="000000" w:themeColor="text1"/>
          <w:sz w:val="32"/>
          <w:szCs w:val="32"/>
        </w:rPr>
        <w:t>條</w:t>
      </w:r>
      <w:r w:rsidR="0093385C" w:rsidRPr="007353FA">
        <w:rPr>
          <w:rFonts w:ascii="標楷體" w:eastAsia="標楷體" w:hAnsi="標楷體" w:hint="eastAsia"/>
          <w:sz w:val="32"/>
          <w:szCs w:val="32"/>
        </w:rPr>
        <w:t xml:space="preserve">  </w:t>
      </w:r>
      <w:r w:rsidR="00DA4FC5" w:rsidRPr="00DA4FC5">
        <w:rPr>
          <w:rFonts w:ascii="標楷體" w:eastAsia="標楷體" w:hAnsi="標楷體" w:hint="eastAsia"/>
          <w:sz w:val="32"/>
          <w:szCs w:val="32"/>
        </w:rPr>
        <w:t>公有公共運輸系統之場站或相關設施之主管機關，應保留該場站或相關設施一定比率之廣告空間，優先提供予運動產品或服務，以優惠價格使用；其比率及使用費率，由主管機關定之。</w:t>
      </w:r>
    </w:p>
    <w:p w:rsidR="00E43ACF" w:rsidRPr="007353FA"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第二十條　運動產業之從業人員，具有特殊專業實務、造詣或成就，足以勝任教學工作者，得依據大學法第十七條第四項及專科學校法第二十四條第二項規定應聘擔任學校相關課程之教職，不受教師聘任有關學歷限制之規定。</w:t>
      </w:r>
    </w:p>
    <w:p w:rsidR="004D1012" w:rsidRPr="004D1012" w:rsidRDefault="00AC5A18" w:rsidP="004D1012">
      <w:pPr>
        <w:widowControl/>
        <w:spacing w:beforeLines="30" w:before="108" w:line="500" w:lineRule="exact"/>
        <w:ind w:left="1558" w:hangingChars="487" w:hanging="1558"/>
        <w:rPr>
          <w:rFonts w:ascii="標楷體" w:eastAsia="標楷體" w:hAnsi="標楷體"/>
          <w:sz w:val="32"/>
          <w:szCs w:val="32"/>
        </w:rPr>
      </w:pPr>
      <w:r w:rsidRPr="007353FA">
        <w:rPr>
          <w:rFonts w:ascii="標楷體" w:eastAsia="標楷體" w:hAnsi="標楷體" w:hint="eastAsia"/>
          <w:sz w:val="32"/>
          <w:szCs w:val="32"/>
        </w:rPr>
        <w:t>第二十</w:t>
      </w:r>
      <w:r w:rsidR="00AE2F7C" w:rsidRPr="007353FA">
        <w:rPr>
          <w:rFonts w:ascii="標楷體" w:eastAsia="標楷體" w:hAnsi="標楷體" w:hint="eastAsia"/>
          <w:sz w:val="32"/>
          <w:szCs w:val="32"/>
        </w:rPr>
        <w:t>一</w:t>
      </w:r>
      <w:r w:rsidRPr="007353FA">
        <w:rPr>
          <w:rFonts w:ascii="標楷體" w:eastAsia="標楷體" w:hAnsi="標楷體" w:hint="eastAsia"/>
          <w:sz w:val="32"/>
          <w:szCs w:val="32"/>
        </w:rPr>
        <w:t xml:space="preserve">條　</w:t>
      </w:r>
      <w:r w:rsidR="004D1012" w:rsidRPr="004D1012">
        <w:rPr>
          <w:rFonts w:ascii="標楷體" w:eastAsia="標楷體" w:hAnsi="標楷體" w:hint="eastAsia"/>
          <w:sz w:val="32"/>
          <w:szCs w:val="32"/>
        </w:rPr>
        <w:t>為協助運動產業發展並因應相關事業環境變動俾利延攬外籍專門性或技術性工作人員來臺，外籍從事運動產業之人員來臺從事短期商務活動、技術指導、專業表演等，並未受僱我國內之任一雇主，得憑停留簽證同意其停留期限十四日以下免申請工作許可。</w:t>
      </w:r>
    </w:p>
    <w:p w:rsidR="004D1012" w:rsidRPr="004D1012" w:rsidRDefault="004D1012" w:rsidP="004D1012">
      <w:pPr>
        <w:widowControl/>
        <w:spacing w:beforeLines="30" w:before="108" w:line="500" w:lineRule="exact"/>
        <w:ind w:leftChars="650" w:left="1560" w:firstLineChars="132" w:firstLine="422"/>
        <w:rPr>
          <w:rFonts w:ascii="標楷體" w:eastAsia="標楷體" w:hAnsi="標楷體"/>
          <w:sz w:val="32"/>
          <w:szCs w:val="32"/>
        </w:rPr>
      </w:pPr>
      <w:r w:rsidRPr="004D1012">
        <w:rPr>
          <w:rFonts w:ascii="標楷體" w:eastAsia="標楷體" w:hAnsi="標楷體" w:hint="eastAsia"/>
          <w:sz w:val="32"/>
          <w:szCs w:val="32"/>
        </w:rPr>
        <w:t>運動產業聘僱外國人在中華民國境內從事專門性或技術性之工作，其申請工作許可之雇主及受僱人條件及應備書件，得比照華僑或外國人經政府核准投資或設立事業，聘僱外籍專門性或技術性工作人員之相關規定辦理。</w:t>
      </w:r>
    </w:p>
    <w:p w:rsidR="00AC17D1" w:rsidRPr="00AC17D1" w:rsidRDefault="00AE2F7C" w:rsidP="00AC17D1">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第二十二</w:t>
      </w:r>
      <w:r w:rsidR="00AC5A18" w:rsidRPr="005C6391">
        <w:rPr>
          <w:rFonts w:ascii="標楷體" w:eastAsia="標楷體" w:hAnsi="標楷體" w:hint="eastAsia"/>
          <w:color w:val="000000" w:themeColor="text1"/>
          <w:sz w:val="32"/>
          <w:szCs w:val="32"/>
        </w:rPr>
        <w:t xml:space="preserve">條　</w:t>
      </w:r>
      <w:r w:rsidR="00AC17D1">
        <w:rPr>
          <w:rFonts w:ascii="標楷體" w:eastAsia="標楷體" w:hAnsi="標楷體" w:hint="eastAsia"/>
          <w:color w:val="000000" w:themeColor="text1"/>
          <w:sz w:val="32"/>
          <w:szCs w:val="32"/>
        </w:rPr>
        <w:t xml:space="preserve"> </w:t>
      </w:r>
      <w:r w:rsidR="00AC17D1" w:rsidRPr="00AC17D1">
        <w:rPr>
          <w:rFonts w:ascii="標楷體" w:eastAsia="標楷體" w:hAnsi="標楷體" w:hint="eastAsia"/>
          <w:color w:val="000000" w:themeColor="text1"/>
          <w:sz w:val="32"/>
          <w:szCs w:val="32"/>
        </w:rPr>
        <w:t>為促進運動產業之發展，政府得以出租、授權或其他方式，提供其管理之圖書、史料、典藏文物或影音資料等公有資產。但不得違反智慧財產權相關法令規定。</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依前項規定提供公有資產之管理機關，應將對外提供之公有資產造冊，並以適當之方式對外公開。</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管理機關依第一項規定取得之收益，得保留部分作為管理維護、技術研發與人才培育之費用，不受國有財產法第七條及地方政府公有財產管理法令規定之限制。</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lastRenderedPageBreak/>
        <w:t xml:space="preserve">      利用人係為非營利目的而使用公有資產時，管理機關得採優惠計價方式辦理。</w:t>
      </w:r>
    </w:p>
    <w:p w:rsidR="00E43ACF" w:rsidRPr="005C6391" w:rsidRDefault="00AC17D1" w:rsidP="00AC17D1">
      <w:pPr>
        <w:widowControl/>
        <w:spacing w:beforeLines="30" w:before="108" w:line="500" w:lineRule="exact"/>
        <w:ind w:leftChars="648" w:left="1555" w:firstLineChars="45" w:firstLine="144"/>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公有資產之出租、授權、收益保留及其他相關事項之辦法或自治法規，由中央目的事業主管機關、直轄市或縣（市）主管機關定之。</w:t>
      </w:r>
    </w:p>
    <w:p w:rsidR="00AC5A18"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第二十三條　運動事業舉辦運動賽事、活動或展演場所需使用公有非公用不動產，經中央主管機關轉請各中央目的事業主管機關核定者，不動產管理機關得逕予出租，不受國有財產法第四十二條及地方政府公有財產管理法令相關出租之限制。</w:t>
      </w:r>
    </w:p>
    <w:p w:rsidR="00656135"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第二十四條　體育團體舉辦之運動賽事或活動，符合加值型及非加值型營業稅法第八條第一項第五款規定者，其門票收入免徵營業稅。</w:t>
      </w:r>
    </w:p>
    <w:p w:rsidR="00DD5DB0" w:rsidRPr="005C6391" w:rsidRDefault="00656135" w:rsidP="006565D7">
      <w:pPr>
        <w:widowControl/>
        <w:spacing w:beforeLines="30" w:before="108" w:line="500" w:lineRule="exact"/>
        <w:ind w:leftChars="650" w:left="1560" w:firstLineChars="132" w:firstLine="422"/>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前項運動賽事、活動範圍及認定標準，由中央主管機關會同財政部定之。</w:t>
      </w:r>
    </w:p>
    <w:p w:rsidR="00DD5DB0" w:rsidRPr="005C6391" w:rsidRDefault="00656135" w:rsidP="00FA12BB">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 xml:space="preserve">第二十五條  </w:t>
      </w:r>
      <w:r w:rsidR="00FA12BB" w:rsidRPr="00FA12BB">
        <w:rPr>
          <w:rFonts w:ascii="標楷體" w:eastAsia="標楷體" w:hAnsi="標楷體" w:hint="eastAsia"/>
          <w:color w:val="000000" w:themeColor="text1"/>
          <w:sz w:val="32"/>
          <w:szCs w:val="32"/>
        </w:rPr>
        <w:t>為促進運動產業發展，公司投資於運動產品或服務之研究、發展支出金額，得依有關稅法或其他法律規定減免稅捐。</w:t>
      </w:r>
    </w:p>
    <w:p w:rsidR="00A96925" w:rsidRPr="00A96925" w:rsidRDefault="00A9692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第二十六條　營利事業合於下列之捐贈，得依所得稅法第三十六條第一款規定以費用列支，不受金額限制：</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一、捐贈經政府登記有案之體育團體。</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二、培養支援運動團隊或運動員。</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三、推行事業單位本身員工體育活動。</w:t>
      </w:r>
    </w:p>
    <w:p w:rsidR="00A96925" w:rsidRPr="00A96925" w:rsidRDefault="00A96925" w:rsidP="006565D7">
      <w:pPr>
        <w:widowControl/>
        <w:spacing w:beforeLines="30" w:before="108" w:line="500" w:lineRule="exact"/>
        <w:ind w:leftChars="650" w:left="2268" w:hanging="70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四、捐贈政府機關及各級學校興設運動場館設施或運動器材用品。</w:t>
      </w:r>
    </w:p>
    <w:p w:rsidR="00A96925" w:rsidRPr="00A96925" w:rsidRDefault="00A96925" w:rsidP="006565D7">
      <w:pPr>
        <w:widowControl/>
        <w:spacing w:beforeLines="30" w:before="108" w:line="500" w:lineRule="exact"/>
        <w:ind w:leftChars="650" w:left="2268" w:hanging="70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lastRenderedPageBreak/>
        <w:t>五、購買於國內所舉辦運動賽事門 票，並經由學校或非營利性之團體捐贈學生或弱勢團體。</w:t>
      </w:r>
    </w:p>
    <w:p w:rsidR="00DD5DB0" w:rsidRPr="005C6391" w:rsidRDefault="00A96925" w:rsidP="006565D7">
      <w:pPr>
        <w:widowControl/>
        <w:spacing w:beforeLines="30" w:before="108" w:line="500" w:lineRule="exact"/>
        <w:ind w:leftChars="649" w:left="1558" w:firstLine="427"/>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前項實施辦法及其他相關事項，由中央主管機關會同財政部定之。</w:t>
      </w:r>
    </w:p>
    <w:p w:rsidR="00BC1AC3" w:rsidRPr="00BC1AC3" w:rsidRDefault="00BC1AC3" w:rsidP="006565D7">
      <w:pPr>
        <w:widowControl/>
        <w:spacing w:beforeLines="30" w:before="108" w:line="500" w:lineRule="exact"/>
        <w:ind w:left="2266" w:hangingChars="708" w:hanging="2266"/>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第二十六條之一  中央主管機關為培養支援運動員，得設置專戶，辦理個人對運動員捐贈有關事宜。</w:t>
      </w:r>
    </w:p>
    <w:p w:rsidR="00BC1AC3" w:rsidRPr="00BC1AC3" w:rsidRDefault="00BC1AC3" w:rsidP="006565D7">
      <w:pPr>
        <w:widowControl/>
        <w:spacing w:beforeLines="30" w:before="108" w:line="500" w:lineRule="exact"/>
        <w:ind w:leftChars="945" w:left="2268" w:firstLine="1"/>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 xml:space="preserve">　個人透過前項專戶對中央主管機關認可之運動員之捐贈，於申報所得稅時，得依下列規定作為列舉扣除額：</w:t>
      </w:r>
    </w:p>
    <w:p w:rsidR="00BC1AC3" w:rsidRPr="00BC1AC3" w:rsidRDefault="00BC1AC3" w:rsidP="006565D7">
      <w:pPr>
        <w:widowControl/>
        <w:spacing w:beforeLines="30" w:before="108" w:line="500" w:lineRule="exact"/>
        <w:ind w:leftChars="945" w:left="2975" w:hangingChars="221" w:hanging="707"/>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一、未指定捐贈特定之運動員者，為對政府之捐贈，全數作為列舉扣除額。</w:t>
      </w:r>
    </w:p>
    <w:p w:rsidR="00BC1AC3" w:rsidRPr="00BC1AC3" w:rsidRDefault="00BC1AC3" w:rsidP="006565D7">
      <w:pPr>
        <w:widowControl/>
        <w:spacing w:beforeLines="30" w:before="108" w:line="500" w:lineRule="exact"/>
        <w:ind w:leftChars="945" w:left="2975" w:hangingChars="221" w:hanging="707"/>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二、指定捐贈特定之運動員，視同對所得稅法第十一條第四項規定之教育、文化、公益、慈善機關或團體之捐贈，依同法第十七條第一項第二款第二目之一規定作為列舉扣除額。</w:t>
      </w:r>
    </w:p>
    <w:p w:rsidR="00BC1AC3" w:rsidRPr="00BC1AC3" w:rsidRDefault="00BC1AC3" w:rsidP="006565D7">
      <w:pPr>
        <w:widowControl/>
        <w:spacing w:beforeLines="30" w:before="108" w:line="500" w:lineRule="exact"/>
        <w:ind w:leftChars="945" w:left="2268" w:firstLineChars="88" w:firstLine="282"/>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個人符合前項所得稅列舉扣除之金額，不計入遺產及贈與稅法之贈與總額。</w:t>
      </w:r>
    </w:p>
    <w:p w:rsidR="00BC1AC3" w:rsidRDefault="00BC1AC3" w:rsidP="006565D7">
      <w:pPr>
        <w:widowControl/>
        <w:spacing w:beforeLines="30" w:before="108" w:line="500" w:lineRule="exact"/>
        <w:ind w:leftChars="945" w:left="2268" w:firstLineChars="88" w:firstLine="282"/>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第一項專戶之設置、資金之收支、保管、運用、分配、查核及監督、第二項運動員之認可、受贈資金之用途、個人列舉扣除之範圍、減除方法、應附之證明文件及其他相關事項之辦法，由中央主管機關會同財政部定之。</w:t>
      </w:r>
    </w:p>
    <w:p w:rsidR="00DD5DB0"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第二十七</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民間機構符合促進民間參與公共建設法第四條規定者，其參與興建重大公共建設之運動設施，得依同法第三十六條至第四十一條規定辦理。</w:t>
      </w:r>
    </w:p>
    <w:p w:rsidR="00656135"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lastRenderedPageBreak/>
        <w:t>第二十八</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民間機構開發經營大型運動設施經主管機關報請行政院核定者，其範圍內所需之公有土地之取得等相關事宜，應依促進民間參與公共建設法之相關規定辦理。</w:t>
      </w:r>
    </w:p>
    <w:p w:rsidR="00656135"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第二十九</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民間機構開發經營大型運動設施經主管機關核定者，其範圍內所需用地如涉及都市計畫或非都市土地使用變更，應依促進民間參與公共建設法、都市計畫法及區域計畫法等相關法令辦理。</w:t>
      </w:r>
    </w:p>
    <w:p w:rsidR="00DD5DB0" w:rsidRPr="005C6391" w:rsidRDefault="00656135" w:rsidP="006565D7">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第三十條　民間機構開發經營大型運動設施經主管機關報請行政院核定者，其所需之聯外道路得由主管機關協調該管道路主管機關、地方政府及其他相關目的事業主管機關興建之。</w:t>
      </w:r>
    </w:p>
    <w:p w:rsidR="00656135"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第三十一條　為促進運動場館業之發展，中央主管機關應針對重大投資案件，設置單一窗口，會同中央有關機關辦理。</w:t>
      </w:r>
    </w:p>
    <w:p w:rsidR="000B706F" w:rsidRPr="005C6391" w:rsidRDefault="00656135" w:rsidP="006565D7">
      <w:pPr>
        <w:widowControl/>
        <w:tabs>
          <w:tab w:val="left" w:pos="2127"/>
        </w:tabs>
        <w:spacing w:beforeLines="30" w:before="108" w:line="500" w:lineRule="exact"/>
        <w:ind w:leftChars="650" w:left="1560" w:firstLineChars="132" w:firstLine="422"/>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前項所稱重大投資案件，由中央主管機關會商中央有關機關定之。</w:t>
      </w:r>
    </w:p>
    <w:p w:rsidR="00DD5DB0" w:rsidRPr="005C6391" w:rsidRDefault="00AE2F7C" w:rsidP="00FA12BB">
      <w:pPr>
        <w:widowControl/>
        <w:spacing w:beforeLines="30" w:before="108" w:line="500" w:lineRule="exact"/>
        <w:ind w:left="960" w:hangingChars="300" w:hanging="960"/>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第三十二</w:t>
      </w:r>
      <w:r w:rsidR="000B706F"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主管機關對於發展運動產業建設所需之公共設施用地，得依法申請徵收私  有土地或撥用公有土地。</w:t>
      </w:r>
    </w:p>
    <w:p w:rsidR="00DC2717" w:rsidRPr="005C6391" w:rsidRDefault="00DC2717" w:rsidP="00DC2717">
      <w:pPr>
        <w:widowControl/>
        <w:spacing w:beforeLines="30" w:before="108" w:line="500" w:lineRule="exact"/>
        <w:ind w:left="960" w:hangingChars="300" w:hanging="960"/>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第三十三條　本條例施行日期，由行政院定之。</w:t>
      </w:r>
    </w:p>
    <w:p w:rsidR="00DC2717" w:rsidRPr="005C6391" w:rsidRDefault="00DC2717" w:rsidP="00B0515B">
      <w:pPr>
        <w:widowControl/>
        <w:spacing w:beforeLines="30" w:before="108" w:line="500" w:lineRule="exact"/>
        <w:ind w:leftChars="400" w:left="960" w:firstLineChars="299" w:firstLine="957"/>
        <w:rPr>
          <w:rFonts w:ascii="標楷體" w:eastAsia="標楷體" w:hAnsi="標楷體"/>
          <w:color w:val="000000" w:themeColor="text1"/>
          <w:sz w:val="32"/>
          <w:szCs w:val="32"/>
        </w:rPr>
      </w:pPr>
      <w:bookmarkStart w:id="0" w:name="_GoBack"/>
      <w:bookmarkEnd w:id="0"/>
      <w:r w:rsidRPr="005C6391">
        <w:rPr>
          <w:rFonts w:ascii="標楷體" w:eastAsia="標楷體" w:hAnsi="標楷體" w:hint="eastAsia"/>
          <w:color w:val="000000" w:themeColor="text1"/>
          <w:sz w:val="32"/>
          <w:szCs w:val="32"/>
        </w:rPr>
        <w:t>本條例修正條文自公布日施行。</w:t>
      </w:r>
    </w:p>
    <w:p w:rsidR="00C974EC" w:rsidRPr="005C6391" w:rsidRDefault="00C974EC" w:rsidP="007353FA">
      <w:pPr>
        <w:spacing w:beforeLines="30" w:before="108" w:line="500" w:lineRule="exact"/>
        <w:ind w:left="336" w:rightChars="50" w:right="120" w:hangingChars="105" w:hanging="336"/>
        <w:jc w:val="both"/>
        <w:rPr>
          <w:rFonts w:ascii="標楷體" w:eastAsia="標楷體" w:hAnsi="標楷體"/>
          <w:color w:val="000000" w:themeColor="text1"/>
          <w:sz w:val="32"/>
          <w:szCs w:val="32"/>
        </w:rPr>
      </w:pPr>
    </w:p>
    <w:sectPr w:rsidR="00C974EC" w:rsidRPr="005C6391" w:rsidSect="00A45C86">
      <w:footerReference w:type="default" r:id="rId9"/>
      <w:pgSz w:w="11906" w:h="16838"/>
      <w:pgMar w:top="993"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E0" w:rsidRDefault="005C20E0" w:rsidP="001654BC">
      <w:r>
        <w:separator/>
      </w:r>
    </w:p>
  </w:endnote>
  <w:endnote w:type="continuationSeparator" w:id="0">
    <w:p w:rsidR="005C20E0" w:rsidRDefault="005C20E0" w:rsidP="001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6403"/>
      <w:docPartObj>
        <w:docPartGallery w:val="Page Numbers (Bottom of Page)"/>
        <w:docPartUnique/>
      </w:docPartObj>
    </w:sdtPr>
    <w:sdtEndPr/>
    <w:sdtContent>
      <w:p w:rsidR="00A45C86" w:rsidRDefault="00A45C86">
        <w:pPr>
          <w:pStyle w:val="a8"/>
          <w:jc w:val="center"/>
        </w:pPr>
        <w:r>
          <w:fldChar w:fldCharType="begin"/>
        </w:r>
        <w:r>
          <w:instrText>PAGE   \* MERGEFORMAT</w:instrText>
        </w:r>
        <w:r>
          <w:fldChar w:fldCharType="separate"/>
        </w:r>
        <w:r w:rsidR="00B0515B" w:rsidRPr="00B0515B">
          <w:rPr>
            <w:noProof/>
            <w:lang w:val="zh-TW"/>
          </w:rPr>
          <w:t>8</w:t>
        </w:r>
        <w:r>
          <w:fldChar w:fldCharType="end"/>
        </w:r>
      </w:p>
    </w:sdtContent>
  </w:sdt>
  <w:p w:rsidR="00A45C86" w:rsidRDefault="00A45C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E0" w:rsidRDefault="005C20E0" w:rsidP="001654BC">
      <w:r>
        <w:separator/>
      </w:r>
    </w:p>
  </w:footnote>
  <w:footnote w:type="continuationSeparator" w:id="0">
    <w:p w:rsidR="005C20E0" w:rsidRDefault="005C20E0" w:rsidP="00165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0569"/>
    <w:multiLevelType w:val="hybridMultilevel"/>
    <w:tmpl w:val="3AF07A4E"/>
    <w:lvl w:ilvl="0" w:tplc="87B25200">
      <w:start w:val="1"/>
      <w:numFmt w:val="taiwaneseCountingThousand"/>
      <w:lvlText w:val="第%1章"/>
      <w:lvlJc w:val="left"/>
      <w:pPr>
        <w:ind w:left="1284" w:hanging="1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7D"/>
    <w:rsid w:val="00072E31"/>
    <w:rsid w:val="000B5654"/>
    <w:rsid w:val="000B706F"/>
    <w:rsid w:val="000C5194"/>
    <w:rsid w:val="000D1674"/>
    <w:rsid w:val="000E6418"/>
    <w:rsid w:val="000E78B4"/>
    <w:rsid w:val="000E7D0C"/>
    <w:rsid w:val="000F4672"/>
    <w:rsid w:val="000F6DF4"/>
    <w:rsid w:val="00114A85"/>
    <w:rsid w:val="0013060A"/>
    <w:rsid w:val="00140DEB"/>
    <w:rsid w:val="00140E99"/>
    <w:rsid w:val="00142F09"/>
    <w:rsid w:val="001579BB"/>
    <w:rsid w:val="001654BC"/>
    <w:rsid w:val="00167C59"/>
    <w:rsid w:val="0017524F"/>
    <w:rsid w:val="001A167A"/>
    <w:rsid w:val="001B6701"/>
    <w:rsid w:val="001E0036"/>
    <w:rsid w:val="00203615"/>
    <w:rsid w:val="00222CA0"/>
    <w:rsid w:val="00276EBA"/>
    <w:rsid w:val="002904D1"/>
    <w:rsid w:val="00291F34"/>
    <w:rsid w:val="00294BFB"/>
    <w:rsid w:val="002964B2"/>
    <w:rsid w:val="002A51D6"/>
    <w:rsid w:val="002D23CD"/>
    <w:rsid w:val="002E4A23"/>
    <w:rsid w:val="00322106"/>
    <w:rsid w:val="00327DEC"/>
    <w:rsid w:val="00333723"/>
    <w:rsid w:val="003365F1"/>
    <w:rsid w:val="003438C8"/>
    <w:rsid w:val="00364975"/>
    <w:rsid w:val="00384419"/>
    <w:rsid w:val="003B0706"/>
    <w:rsid w:val="003B151E"/>
    <w:rsid w:val="003B226A"/>
    <w:rsid w:val="003E219E"/>
    <w:rsid w:val="004477BD"/>
    <w:rsid w:val="00457F03"/>
    <w:rsid w:val="00462CC0"/>
    <w:rsid w:val="00471DE3"/>
    <w:rsid w:val="00473764"/>
    <w:rsid w:val="00477924"/>
    <w:rsid w:val="00481969"/>
    <w:rsid w:val="0048279B"/>
    <w:rsid w:val="00491BFC"/>
    <w:rsid w:val="004B2217"/>
    <w:rsid w:val="004D1012"/>
    <w:rsid w:val="004D299C"/>
    <w:rsid w:val="004E4EBE"/>
    <w:rsid w:val="004F217F"/>
    <w:rsid w:val="004F4DA9"/>
    <w:rsid w:val="005573D6"/>
    <w:rsid w:val="00561048"/>
    <w:rsid w:val="00564237"/>
    <w:rsid w:val="00567E45"/>
    <w:rsid w:val="00570979"/>
    <w:rsid w:val="005739BA"/>
    <w:rsid w:val="00574E9C"/>
    <w:rsid w:val="00580290"/>
    <w:rsid w:val="00583696"/>
    <w:rsid w:val="005A10C9"/>
    <w:rsid w:val="005B4D27"/>
    <w:rsid w:val="005C1D3C"/>
    <w:rsid w:val="005C20E0"/>
    <w:rsid w:val="005C6391"/>
    <w:rsid w:val="005D0D3E"/>
    <w:rsid w:val="005E5B0C"/>
    <w:rsid w:val="005F65DE"/>
    <w:rsid w:val="00625E04"/>
    <w:rsid w:val="00650406"/>
    <w:rsid w:val="00656135"/>
    <w:rsid w:val="006565D7"/>
    <w:rsid w:val="00665658"/>
    <w:rsid w:val="00697240"/>
    <w:rsid w:val="006B4D1C"/>
    <w:rsid w:val="006C2411"/>
    <w:rsid w:val="006C7F5D"/>
    <w:rsid w:val="006D79E1"/>
    <w:rsid w:val="006E18E1"/>
    <w:rsid w:val="006F54A9"/>
    <w:rsid w:val="00703846"/>
    <w:rsid w:val="00704094"/>
    <w:rsid w:val="007228FE"/>
    <w:rsid w:val="007353FA"/>
    <w:rsid w:val="00737DF2"/>
    <w:rsid w:val="007827FF"/>
    <w:rsid w:val="007916CE"/>
    <w:rsid w:val="007B30D9"/>
    <w:rsid w:val="007D1AD9"/>
    <w:rsid w:val="007E19B0"/>
    <w:rsid w:val="008006A1"/>
    <w:rsid w:val="00804AAD"/>
    <w:rsid w:val="00814947"/>
    <w:rsid w:val="00814D6E"/>
    <w:rsid w:val="00874A33"/>
    <w:rsid w:val="008778B8"/>
    <w:rsid w:val="008854EF"/>
    <w:rsid w:val="008860FA"/>
    <w:rsid w:val="008919A9"/>
    <w:rsid w:val="00895938"/>
    <w:rsid w:val="008A5995"/>
    <w:rsid w:val="008A68E9"/>
    <w:rsid w:val="008C2596"/>
    <w:rsid w:val="008E7E38"/>
    <w:rsid w:val="008F22B3"/>
    <w:rsid w:val="0090320D"/>
    <w:rsid w:val="00924861"/>
    <w:rsid w:val="0093385C"/>
    <w:rsid w:val="009379FF"/>
    <w:rsid w:val="00962970"/>
    <w:rsid w:val="00970319"/>
    <w:rsid w:val="009B1323"/>
    <w:rsid w:val="009C00D6"/>
    <w:rsid w:val="009D3643"/>
    <w:rsid w:val="009E3ECA"/>
    <w:rsid w:val="009E44FF"/>
    <w:rsid w:val="009F4837"/>
    <w:rsid w:val="00A13F36"/>
    <w:rsid w:val="00A23A08"/>
    <w:rsid w:val="00A25756"/>
    <w:rsid w:val="00A27889"/>
    <w:rsid w:val="00A32ACC"/>
    <w:rsid w:val="00A45C86"/>
    <w:rsid w:val="00A537A8"/>
    <w:rsid w:val="00A54F60"/>
    <w:rsid w:val="00A67498"/>
    <w:rsid w:val="00A96925"/>
    <w:rsid w:val="00AC05C6"/>
    <w:rsid w:val="00AC17D1"/>
    <w:rsid w:val="00AC5A18"/>
    <w:rsid w:val="00AE2F7C"/>
    <w:rsid w:val="00B0515B"/>
    <w:rsid w:val="00B34EE8"/>
    <w:rsid w:val="00B35D37"/>
    <w:rsid w:val="00B434E1"/>
    <w:rsid w:val="00B608F8"/>
    <w:rsid w:val="00B70108"/>
    <w:rsid w:val="00B91390"/>
    <w:rsid w:val="00B9226F"/>
    <w:rsid w:val="00BA108A"/>
    <w:rsid w:val="00BB3C8D"/>
    <w:rsid w:val="00BC1AC3"/>
    <w:rsid w:val="00C14315"/>
    <w:rsid w:val="00C270B1"/>
    <w:rsid w:val="00C31D7D"/>
    <w:rsid w:val="00C46B93"/>
    <w:rsid w:val="00C513A8"/>
    <w:rsid w:val="00C76712"/>
    <w:rsid w:val="00C974EC"/>
    <w:rsid w:val="00CC0BDC"/>
    <w:rsid w:val="00CC2AD3"/>
    <w:rsid w:val="00CC6118"/>
    <w:rsid w:val="00D012FB"/>
    <w:rsid w:val="00D0548F"/>
    <w:rsid w:val="00D24D5D"/>
    <w:rsid w:val="00D31E56"/>
    <w:rsid w:val="00D51E37"/>
    <w:rsid w:val="00D52DC3"/>
    <w:rsid w:val="00D85260"/>
    <w:rsid w:val="00DA4FC5"/>
    <w:rsid w:val="00DB1371"/>
    <w:rsid w:val="00DC2717"/>
    <w:rsid w:val="00DC774F"/>
    <w:rsid w:val="00DD22F7"/>
    <w:rsid w:val="00DD4ABF"/>
    <w:rsid w:val="00DD5DB0"/>
    <w:rsid w:val="00DE6E56"/>
    <w:rsid w:val="00E0549D"/>
    <w:rsid w:val="00E15C1D"/>
    <w:rsid w:val="00E21ABF"/>
    <w:rsid w:val="00E4360A"/>
    <w:rsid w:val="00E43ACF"/>
    <w:rsid w:val="00E4494B"/>
    <w:rsid w:val="00E52E6A"/>
    <w:rsid w:val="00E55F86"/>
    <w:rsid w:val="00E63BBF"/>
    <w:rsid w:val="00E753D0"/>
    <w:rsid w:val="00E8710A"/>
    <w:rsid w:val="00EA095F"/>
    <w:rsid w:val="00F0015F"/>
    <w:rsid w:val="00F16A70"/>
    <w:rsid w:val="00F20E4E"/>
    <w:rsid w:val="00FA12BB"/>
    <w:rsid w:val="00FA38AF"/>
    <w:rsid w:val="00FB193C"/>
    <w:rsid w:val="00FB3CCE"/>
    <w:rsid w:val="00FC01F8"/>
    <w:rsid w:val="00FD1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1D7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1D7D"/>
    <w:rPr>
      <w:rFonts w:asciiTheme="majorHAnsi" w:eastAsiaTheme="majorEastAsia" w:hAnsiTheme="majorHAnsi" w:cstheme="majorBidi"/>
      <w:sz w:val="18"/>
      <w:szCs w:val="18"/>
    </w:rPr>
  </w:style>
  <w:style w:type="paragraph" w:styleId="a6">
    <w:name w:val="header"/>
    <w:basedOn w:val="a"/>
    <w:link w:val="a7"/>
    <w:uiPriority w:val="99"/>
    <w:unhideWhenUsed/>
    <w:rsid w:val="001654BC"/>
    <w:pPr>
      <w:tabs>
        <w:tab w:val="center" w:pos="4153"/>
        <w:tab w:val="right" w:pos="8306"/>
      </w:tabs>
      <w:snapToGrid w:val="0"/>
    </w:pPr>
    <w:rPr>
      <w:sz w:val="20"/>
      <w:szCs w:val="20"/>
    </w:rPr>
  </w:style>
  <w:style w:type="character" w:customStyle="1" w:styleId="a7">
    <w:name w:val="頁首 字元"/>
    <w:basedOn w:val="a0"/>
    <w:link w:val="a6"/>
    <w:uiPriority w:val="99"/>
    <w:rsid w:val="001654BC"/>
    <w:rPr>
      <w:rFonts w:ascii="Calibri" w:eastAsia="新細明體" w:hAnsi="Calibri" w:cs="Times New Roman"/>
      <w:sz w:val="20"/>
      <w:szCs w:val="20"/>
    </w:rPr>
  </w:style>
  <w:style w:type="paragraph" w:styleId="a8">
    <w:name w:val="footer"/>
    <w:basedOn w:val="a"/>
    <w:link w:val="a9"/>
    <w:uiPriority w:val="99"/>
    <w:unhideWhenUsed/>
    <w:rsid w:val="001654BC"/>
    <w:pPr>
      <w:tabs>
        <w:tab w:val="center" w:pos="4153"/>
        <w:tab w:val="right" w:pos="8306"/>
      </w:tabs>
      <w:snapToGrid w:val="0"/>
    </w:pPr>
    <w:rPr>
      <w:sz w:val="20"/>
      <w:szCs w:val="20"/>
    </w:rPr>
  </w:style>
  <w:style w:type="character" w:customStyle="1" w:styleId="a9">
    <w:name w:val="頁尾 字元"/>
    <w:basedOn w:val="a0"/>
    <w:link w:val="a8"/>
    <w:uiPriority w:val="99"/>
    <w:rsid w:val="001654BC"/>
    <w:rPr>
      <w:rFonts w:ascii="Calibri" w:eastAsia="新細明體" w:hAnsi="Calibri" w:cs="Times New Roman"/>
      <w:sz w:val="20"/>
      <w:szCs w:val="20"/>
    </w:rPr>
  </w:style>
  <w:style w:type="paragraph" w:styleId="aa">
    <w:name w:val="List Paragraph"/>
    <w:basedOn w:val="a"/>
    <w:uiPriority w:val="34"/>
    <w:qFormat/>
    <w:rsid w:val="009B13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1D7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1D7D"/>
    <w:rPr>
      <w:rFonts w:asciiTheme="majorHAnsi" w:eastAsiaTheme="majorEastAsia" w:hAnsiTheme="majorHAnsi" w:cstheme="majorBidi"/>
      <w:sz w:val="18"/>
      <w:szCs w:val="18"/>
    </w:rPr>
  </w:style>
  <w:style w:type="paragraph" w:styleId="a6">
    <w:name w:val="header"/>
    <w:basedOn w:val="a"/>
    <w:link w:val="a7"/>
    <w:uiPriority w:val="99"/>
    <w:unhideWhenUsed/>
    <w:rsid w:val="001654BC"/>
    <w:pPr>
      <w:tabs>
        <w:tab w:val="center" w:pos="4153"/>
        <w:tab w:val="right" w:pos="8306"/>
      </w:tabs>
      <w:snapToGrid w:val="0"/>
    </w:pPr>
    <w:rPr>
      <w:sz w:val="20"/>
      <w:szCs w:val="20"/>
    </w:rPr>
  </w:style>
  <w:style w:type="character" w:customStyle="1" w:styleId="a7">
    <w:name w:val="頁首 字元"/>
    <w:basedOn w:val="a0"/>
    <w:link w:val="a6"/>
    <w:uiPriority w:val="99"/>
    <w:rsid w:val="001654BC"/>
    <w:rPr>
      <w:rFonts w:ascii="Calibri" w:eastAsia="新細明體" w:hAnsi="Calibri" w:cs="Times New Roman"/>
      <w:sz w:val="20"/>
      <w:szCs w:val="20"/>
    </w:rPr>
  </w:style>
  <w:style w:type="paragraph" w:styleId="a8">
    <w:name w:val="footer"/>
    <w:basedOn w:val="a"/>
    <w:link w:val="a9"/>
    <w:uiPriority w:val="99"/>
    <w:unhideWhenUsed/>
    <w:rsid w:val="001654BC"/>
    <w:pPr>
      <w:tabs>
        <w:tab w:val="center" w:pos="4153"/>
        <w:tab w:val="right" w:pos="8306"/>
      </w:tabs>
      <w:snapToGrid w:val="0"/>
    </w:pPr>
    <w:rPr>
      <w:sz w:val="20"/>
      <w:szCs w:val="20"/>
    </w:rPr>
  </w:style>
  <w:style w:type="character" w:customStyle="1" w:styleId="a9">
    <w:name w:val="頁尾 字元"/>
    <w:basedOn w:val="a0"/>
    <w:link w:val="a8"/>
    <w:uiPriority w:val="99"/>
    <w:rsid w:val="001654BC"/>
    <w:rPr>
      <w:rFonts w:ascii="Calibri" w:eastAsia="新細明體" w:hAnsi="Calibri" w:cs="Times New Roman"/>
      <w:sz w:val="20"/>
      <w:szCs w:val="20"/>
    </w:rPr>
  </w:style>
  <w:style w:type="paragraph" w:styleId="aa">
    <w:name w:val="List Paragraph"/>
    <w:basedOn w:val="a"/>
    <w:uiPriority w:val="34"/>
    <w:qFormat/>
    <w:rsid w:val="009B13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9073-712A-4B0F-AF6D-5B91D0DA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b297 蔡泓楷</dc:creator>
  <cp:lastModifiedBy>0236 莊家幸</cp:lastModifiedBy>
  <cp:revision>2</cp:revision>
  <cp:lastPrinted>2017-11-07T10:07:00Z</cp:lastPrinted>
  <dcterms:created xsi:type="dcterms:W3CDTF">2017-11-07T10:18:00Z</dcterms:created>
  <dcterms:modified xsi:type="dcterms:W3CDTF">2017-11-07T10:18:00Z</dcterms:modified>
</cp:coreProperties>
</file>