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9" w:rsidRPr="002D552A" w:rsidRDefault="00A14629" w:rsidP="00A14629">
      <w:pPr>
        <w:rPr>
          <w:rFonts w:ascii="Arial" w:eastAsia="標楷體" w:hAnsi="Arial" w:cs="Arial"/>
          <w:b/>
          <w:sz w:val="32"/>
          <w:szCs w:val="32"/>
          <w:bdr w:val="single" w:sz="4" w:space="0" w:color="auto"/>
        </w:rPr>
      </w:pPr>
      <w:r w:rsidRPr="002D552A">
        <w:rPr>
          <w:rFonts w:ascii="Arial" w:eastAsia="標楷體" w:hAnsi="Arial" w:cs="Arial"/>
          <w:b/>
          <w:sz w:val="32"/>
          <w:szCs w:val="32"/>
          <w:bdr w:val="single" w:sz="4" w:space="0" w:color="auto"/>
        </w:rPr>
        <w:t>附件</w:t>
      </w:r>
      <w:r>
        <w:rPr>
          <w:rFonts w:ascii="Arial" w:eastAsia="標楷體" w:hAnsi="Arial" w:cs="Arial" w:hint="eastAsia"/>
          <w:b/>
          <w:sz w:val="32"/>
          <w:szCs w:val="32"/>
          <w:bdr w:val="single" w:sz="4" w:space="0" w:color="auto"/>
        </w:rPr>
        <w:t>3</w:t>
      </w:r>
    </w:p>
    <w:p w:rsidR="00A14629" w:rsidRDefault="00A14629" w:rsidP="00A14629"/>
    <w:p w:rsidR="00A14629" w:rsidRDefault="00A14629" w:rsidP="00A14629">
      <w:pPr>
        <w:widowControl/>
        <w:spacing w:line="48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FB4206">
        <w:rPr>
          <w:rFonts w:ascii="Arial" w:eastAsia="標楷體" w:hAnsi="Arial" w:cs="Arial"/>
          <w:b/>
          <w:sz w:val="40"/>
          <w:szCs w:val="40"/>
        </w:rPr>
        <w:t>1</w:t>
      </w:r>
      <w:r w:rsidRPr="00FB4206">
        <w:rPr>
          <w:rFonts w:ascii="Arial" w:eastAsia="標楷體" w:hAnsi="Arial" w:cs="Arial" w:hint="eastAsia"/>
          <w:b/>
          <w:sz w:val="40"/>
          <w:szCs w:val="40"/>
        </w:rPr>
        <w:t>12</w:t>
      </w:r>
      <w:r w:rsidRPr="00FB4206">
        <w:rPr>
          <w:rFonts w:ascii="Arial" w:eastAsia="標楷體" w:hAnsi="Arial" w:cs="Arial"/>
          <w:b/>
          <w:sz w:val="40"/>
          <w:szCs w:val="40"/>
        </w:rPr>
        <w:t>年度「中央政府推動建立員工學習制度」</w:t>
      </w:r>
    </w:p>
    <w:p w:rsidR="00A14629" w:rsidRPr="00FB4206" w:rsidRDefault="00A14629" w:rsidP="00A14629">
      <w:pPr>
        <w:widowControl/>
        <w:spacing w:line="48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FB4206">
        <w:rPr>
          <w:rFonts w:ascii="Arial" w:eastAsia="標楷體" w:hAnsi="Arial" w:cs="Arial" w:hint="eastAsia"/>
          <w:b/>
          <w:sz w:val="40"/>
          <w:szCs w:val="40"/>
        </w:rPr>
        <w:t>績優單位</w:t>
      </w:r>
    </w:p>
    <w:p w:rsidR="00A14629" w:rsidRDefault="00A14629" w:rsidP="00A14629">
      <w:pPr>
        <w:rPr>
          <w:rFonts w:ascii="Arial" w:hAnsi="Arial" w:cs="Arial"/>
        </w:rPr>
      </w:pPr>
    </w:p>
    <w:p w:rsidR="00A14629" w:rsidRPr="00C66CAD" w:rsidRDefault="00A14629" w:rsidP="00A14629">
      <w:pPr>
        <w:rPr>
          <w:rFonts w:ascii="Arial" w:hAnsi="Arial" w:cs="Arial"/>
        </w:rPr>
      </w:pPr>
    </w:p>
    <w:p w:rsidR="00A14629" w:rsidRPr="00F94028" w:rsidRDefault="00A14629" w:rsidP="00A14629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F94028">
        <w:rPr>
          <w:rFonts w:ascii="微軟正黑體" w:eastAsia="微軟正黑體" w:hAnsi="微軟正黑體" w:cs="微軟正黑體" w:hint="eastAsia"/>
          <w:b/>
          <w:sz w:val="32"/>
          <w:szCs w:val="32"/>
        </w:rPr>
        <w:t>※</w:t>
      </w:r>
      <w:r w:rsidRPr="00F94028">
        <w:rPr>
          <w:rFonts w:ascii="Arial" w:eastAsia="標楷體" w:hAnsi="Arial" w:cs="Arial"/>
          <w:b/>
          <w:sz w:val="32"/>
          <w:szCs w:val="32"/>
          <w:shd w:val="pct15" w:color="auto" w:fill="FFFFFF"/>
        </w:rPr>
        <w:t>特優等</w:t>
      </w:r>
      <w:r w:rsidRPr="00F94028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（</w:t>
      </w:r>
      <w:r w:rsidRPr="00F94028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1</w:t>
      </w:r>
      <w:r w:rsidRPr="00F94028">
        <w:rPr>
          <w:rFonts w:ascii="Arial" w:eastAsia="標楷體" w:hAnsi="Arial" w:cs="Arial"/>
          <w:b/>
          <w:sz w:val="32"/>
          <w:szCs w:val="32"/>
          <w:shd w:val="pct15" w:color="auto" w:fill="FFFFFF"/>
        </w:rPr>
        <w:t>名</w:t>
      </w:r>
      <w:r w:rsidRPr="00F94028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）</w:t>
      </w:r>
      <w:r w:rsidRPr="00F94028">
        <w:rPr>
          <w:rFonts w:ascii="微軟正黑體" w:eastAsia="微軟正黑體" w:hAnsi="微軟正黑體" w:cs="微軟正黑體" w:hint="eastAsia"/>
          <w:b/>
          <w:sz w:val="32"/>
          <w:szCs w:val="32"/>
        </w:rPr>
        <w:t>※</w:t>
      </w:r>
    </w:p>
    <w:p w:rsidR="00A14629" w:rsidRPr="007F0EBD" w:rsidRDefault="00A14629" w:rsidP="00A14629">
      <w:pPr>
        <w:jc w:val="center"/>
        <w:rPr>
          <w:rFonts w:ascii="Arial" w:eastAsia="標楷體" w:hAnsi="Arial" w:cs="Arial"/>
          <w:sz w:val="32"/>
          <w:szCs w:val="32"/>
        </w:rPr>
      </w:pPr>
      <w:r w:rsidRPr="007F0EBD">
        <w:rPr>
          <w:rFonts w:eastAsia="標楷體" w:hint="eastAsia"/>
          <w:color w:val="000000" w:themeColor="text1"/>
          <w:sz w:val="32"/>
          <w:szCs w:val="32"/>
        </w:rPr>
        <w:t>台灣電力股份有限公司</w:t>
      </w:r>
    </w:p>
    <w:p w:rsidR="00A14629" w:rsidRPr="0032762E" w:rsidRDefault="00A14629" w:rsidP="00A14629">
      <w:pPr>
        <w:spacing w:line="400" w:lineRule="exact"/>
        <w:rPr>
          <w:rFonts w:ascii="Arial" w:eastAsia="標楷體" w:hAnsi="Arial" w:cs="Arial"/>
          <w:b/>
          <w:sz w:val="32"/>
          <w:szCs w:val="32"/>
          <w:bdr w:val="single" w:sz="4" w:space="0" w:color="auto"/>
        </w:rPr>
      </w:pPr>
    </w:p>
    <w:p w:rsidR="00A14629" w:rsidRPr="0032762E" w:rsidRDefault="00A14629" w:rsidP="00A14629">
      <w:pPr>
        <w:spacing w:line="400" w:lineRule="exact"/>
        <w:rPr>
          <w:rFonts w:ascii="Arial" w:eastAsia="標楷體" w:hAnsi="Arial" w:cs="Arial"/>
          <w:b/>
          <w:sz w:val="32"/>
          <w:szCs w:val="32"/>
          <w:bdr w:val="single" w:sz="4" w:space="0" w:color="auto"/>
        </w:rPr>
      </w:pPr>
    </w:p>
    <w:p w:rsidR="00A14629" w:rsidRPr="00F94028" w:rsidRDefault="00A14629" w:rsidP="00A14629">
      <w:pPr>
        <w:jc w:val="center"/>
        <w:rPr>
          <w:rFonts w:ascii="Arial" w:eastAsia="標楷體" w:hAnsi="Arial" w:cs="Arial"/>
          <w:sz w:val="32"/>
          <w:szCs w:val="32"/>
        </w:rPr>
      </w:pPr>
      <w:r w:rsidRPr="00F94028">
        <w:rPr>
          <w:rFonts w:ascii="微軟正黑體" w:eastAsia="微軟正黑體" w:hAnsi="微軟正黑體" w:cs="微軟正黑體" w:hint="eastAsia"/>
          <w:b/>
          <w:sz w:val="32"/>
          <w:szCs w:val="32"/>
        </w:rPr>
        <w:t>※</w:t>
      </w:r>
      <w:r w:rsidRPr="00F94028">
        <w:rPr>
          <w:rFonts w:ascii="Arial" w:eastAsia="標楷體" w:hAnsi="Arial" w:cs="Arial"/>
          <w:b/>
          <w:sz w:val="32"/>
          <w:szCs w:val="32"/>
          <w:shd w:val="pct15" w:color="auto" w:fill="FFFFFF"/>
        </w:rPr>
        <w:t>優等（</w:t>
      </w:r>
      <w:r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4</w:t>
      </w:r>
      <w:r w:rsidRPr="00F94028">
        <w:rPr>
          <w:rFonts w:ascii="Arial" w:eastAsia="標楷體" w:hAnsi="Arial" w:cs="Arial"/>
          <w:b/>
          <w:sz w:val="32"/>
          <w:szCs w:val="32"/>
          <w:shd w:val="pct15" w:color="auto" w:fill="FFFFFF"/>
        </w:rPr>
        <w:t>名）</w:t>
      </w:r>
      <w:r w:rsidRPr="00F94028">
        <w:rPr>
          <w:rFonts w:ascii="微軟正黑體" w:eastAsia="微軟正黑體" w:hAnsi="微軟正黑體" w:cs="微軟正黑體" w:hint="eastAsia"/>
          <w:b/>
          <w:sz w:val="32"/>
          <w:szCs w:val="32"/>
        </w:rPr>
        <w:t>※</w:t>
      </w:r>
    </w:p>
    <w:p w:rsidR="00A14629" w:rsidRDefault="00A14629" w:rsidP="00A14629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7F0EBD">
        <w:rPr>
          <w:rFonts w:eastAsia="標楷體" w:hint="eastAsia"/>
          <w:color w:val="000000" w:themeColor="text1"/>
          <w:sz w:val="32"/>
          <w:szCs w:val="32"/>
        </w:rPr>
        <w:t>文藻學校財團法人文藻外語大學</w:t>
      </w:r>
    </w:p>
    <w:p w:rsidR="00A14629" w:rsidRDefault="00A14629" w:rsidP="00A14629">
      <w:pPr>
        <w:jc w:val="center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高雄榮民總醫院</w:t>
      </w:r>
    </w:p>
    <w:p w:rsidR="00A14629" w:rsidRDefault="00A14629" w:rsidP="00A14629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7F0EBD">
        <w:rPr>
          <w:rFonts w:eastAsia="標楷體" w:hint="eastAsia"/>
          <w:color w:val="000000" w:themeColor="text1"/>
          <w:sz w:val="32"/>
          <w:szCs w:val="32"/>
        </w:rPr>
        <w:t>臺灣港務股份有限公司</w:t>
      </w:r>
    </w:p>
    <w:p w:rsidR="00A14629" w:rsidRPr="00300A7E" w:rsidRDefault="00A14629" w:rsidP="00A14629">
      <w:pPr>
        <w:jc w:val="center"/>
        <w:rPr>
          <w:rFonts w:eastAsia="標楷體"/>
          <w:color w:val="000000" w:themeColor="text1"/>
        </w:rPr>
      </w:pPr>
      <w:r w:rsidRPr="00300A7E">
        <w:rPr>
          <w:rFonts w:eastAsia="標楷體" w:hint="eastAsia"/>
          <w:color w:val="000000" w:themeColor="text1"/>
          <w:sz w:val="32"/>
          <w:szCs w:val="32"/>
        </w:rPr>
        <w:t>國家環境研究院</w:t>
      </w:r>
      <w:r w:rsidRPr="00300A7E">
        <w:rPr>
          <w:rFonts w:eastAsia="標楷體" w:hint="eastAsia"/>
          <w:color w:val="000000" w:themeColor="text1"/>
        </w:rPr>
        <w:t>（原行政院環境保護署環境檢驗所）</w:t>
      </w:r>
    </w:p>
    <w:p w:rsidR="00A14629" w:rsidRDefault="00A14629" w:rsidP="00A14629">
      <w:pPr>
        <w:widowControl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14629" w:rsidRDefault="00A14629" w:rsidP="00A14629">
      <w:pPr>
        <w:widowControl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14629" w:rsidRDefault="00A14629" w:rsidP="00A14629">
      <w:pPr>
        <w:widowControl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14629" w:rsidRDefault="00A14629" w:rsidP="00A14629">
      <w:pPr>
        <w:widowControl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  <w:sectPr w:rsidR="00A14629" w:rsidSect="0035461B">
          <w:pgSz w:w="11906" w:h="16838"/>
          <w:pgMar w:top="1418" w:right="1418" w:bottom="1418" w:left="1418" w:header="851" w:footer="737" w:gutter="0"/>
          <w:cols w:space="425"/>
          <w:docGrid w:type="lines" w:linePitch="360"/>
        </w:sectPr>
      </w:pPr>
    </w:p>
    <w:p w:rsidR="00A14629" w:rsidRPr="00277BFA" w:rsidRDefault="00A14629" w:rsidP="00A14629">
      <w:pPr>
        <w:adjustRightInd w:val="0"/>
        <w:snapToGrid w:val="0"/>
        <w:spacing w:line="520" w:lineRule="exact"/>
        <w:jc w:val="center"/>
        <w:rPr>
          <w:rFonts w:ascii="Arial" w:eastAsia="標楷體" w:hAnsi="Arial" w:cs="Arial"/>
          <w:b/>
          <w:sz w:val="32"/>
          <w:szCs w:val="36"/>
        </w:rPr>
      </w:pPr>
      <w:bookmarkStart w:id="0" w:name="_GoBack"/>
      <w:bookmarkEnd w:id="0"/>
      <w:r w:rsidRPr="00277BFA">
        <w:rPr>
          <w:rFonts w:ascii="Arial" w:eastAsia="標楷體" w:hAnsi="Arial" w:cs="Arial"/>
          <w:b/>
          <w:sz w:val="32"/>
          <w:szCs w:val="36"/>
        </w:rPr>
        <w:lastRenderedPageBreak/>
        <w:t>1</w:t>
      </w:r>
      <w:r w:rsidRPr="00277BFA">
        <w:rPr>
          <w:rFonts w:ascii="Arial" w:eastAsia="標楷體" w:hAnsi="Arial" w:cs="Arial" w:hint="eastAsia"/>
          <w:b/>
          <w:sz w:val="32"/>
          <w:szCs w:val="36"/>
        </w:rPr>
        <w:t>1</w:t>
      </w:r>
      <w:r>
        <w:rPr>
          <w:rFonts w:ascii="Arial" w:eastAsia="標楷體" w:hAnsi="Arial" w:cs="Arial" w:hint="eastAsia"/>
          <w:b/>
          <w:sz w:val="32"/>
          <w:szCs w:val="36"/>
        </w:rPr>
        <w:t>2</w:t>
      </w:r>
      <w:r w:rsidRPr="00277BFA">
        <w:rPr>
          <w:rFonts w:ascii="Arial" w:eastAsia="標楷體" w:hAnsi="Arial" w:cs="Arial"/>
          <w:b/>
          <w:sz w:val="32"/>
          <w:szCs w:val="36"/>
        </w:rPr>
        <w:t>年度「中央政府推動建立員工學習制度」</w:t>
      </w:r>
      <w:r w:rsidRPr="00277BFA">
        <w:rPr>
          <w:rFonts w:ascii="Arial" w:eastAsia="標楷體" w:hAnsi="Arial" w:cs="Arial" w:hint="eastAsia"/>
          <w:b/>
          <w:sz w:val="32"/>
          <w:szCs w:val="36"/>
        </w:rPr>
        <w:t>－</w:t>
      </w:r>
      <w:r>
        <w:rPr>
          <w:rFonts w:ascii="Arial" w:eastAsia="標楷體" w:hAnsi="Arial" w:cs="Arial" w:hint="eastAsia"/>
          <w:b/>
          <w:sz w:val="32"/>
          <w:szCs w:val="36"/>
        </w:rPr>
        <w:t>績優單位</w:t>
      </w:r>
      <w:r w:rsidRPr="00277BFA">
        <w:rPr>
          <w:rFonts w:ascii="Arial" w:eastAsia="標楷體" w:hAnsi="Arial" w:cs="Arial" w:hint="eastAsia"/>
          <w:b/>
          <w:sz w:val="32"/>
          <w:szCs w:val="36"/>
        </w:rPr>
        <w:t>優良事蹟</w:t>
      </w:r>
    </w:p>
    <w:p w:rsidR="00A14629" w:rsidRPr="00DE63C0" w:rsidRDefault="00A14629" w:rsidP="00A14629">
      <w:pPr>
        <w:pStyle w:val="a3"/>
        <w:spacing w:line="200" w:lineRule="exact"/>
        <w:ind w:left="0"/>
        <w:rPr>
          <w:sz w:val="28"/>
          <w:szCs w:val="28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95"/>
        <w:gridCol w:w="7633"/>
      </w:tblGrid>
      <w:tr w:rsidR="00A14629" w:rsidRPr="002D552A" w:rsidTr="000800D0">
        <w:trPr>
          <w:tblHeader/>
          <w:jc w:val="center"/>
        </w:trPr>
        <w:tc>
          <w:tcPr>
            <w:tcW w:w="1036" w:type="pct"/>
            <w:tcBorders>
              <w:bottom w:val="single" w:sz="18" w:space="0" w:color="auto"/>
            </w:tcBorders>
          </w:tcPr>
          <w:p w:rsidR="00A14629" w:rsidRPr="002D552A" w:rsidRDefault="00A14629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D552A">
              <w:rPr>
                <w:rFonts w:ascii="Arial" w:eastAsia="標楷體" w:hAnsi="Arial" w:cs="Arial"/>
                <w:sz w:val="28"/>
                <w:szCs w:val="28"/>
              </w:rPr>
              <w:t>獲獎單位</w:t>
            </w:r>
          </w:p>
        </w:tc>
        <w:tc>
          <w:tcPr>
            <w:tcW w:w="3964" w:type="pct"/>
            <w:tcBorders>
              <w:bottom w:val="single" w:sz="18" w:space="0" w:color="auto"/>
            </w:tcBorders>
          </w:tcPr>
          <w:p w:rsidR="00A14629" w:rsidRPr="002D552A" w:rsidRDefault="00A14629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D552A">
              <w:rPr>
                <w:rFonts w:ascii="Arial" w:eastAsia="標楷體" w:hAnsi="Arial" w:cs="Arial"/>
                <w:sz w:val="28"/>
                <w:szCs w:val="28"/>
              </w:rPr>
              <w:t>優良事蹟</w:t>
            </w:r>
          </w:p>
        </w:tc>
      </w:tr>
      <w:tr w:rsidR="00A14629" w:rsidRPr="002D552A" w:rsidTr="000800D0">
        <w:trPr>
          <w:jc w:val="center"/>
        </w:trPr>
        <w:tc>
          <w:tcPr>
            <w:tcW w:w="1036" w:type="pct"/>
            <w:tcBorders>
              <w:top w:val="single" w:sz="18" w:space="0" w:color="auto"/>
            </w:tcBorders>
            <w:vAlign w:val="center"/>
          </w:tcPr>
          <w:p w:rsidR="00A14629" w:rsidRPr="0025569A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台</w:t>
            </w:r>
            <w:r w:rsidRPr="0025569A">
              <w:rPr>
                <w:rFonts w:ascii="Arial" w:eastAsia="標楷體" w:hAnsi="Arial" w:cs="Arial" w:hint="eastAsia"/>
                <w:b/>
                <w:sz w:val="28"/>
                <w:szCs w:val="28"/>
              </w:rPr>
              <w:t>灣電力股份有限公司</w:t>
            </w:r>
          </w:p>
          <w:p w:rsidR="00A14629" w:rsidRPr="002D552A" w:rsidRDefault="00A14629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D552A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特優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獎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964" w:type="pct"/>
            <w:tcBorders>
              <w:top w:val="single" w:sz="18" w:space="0" w:color="auto"/>
            </w:tcBorders>
            <w:vAlign w:val="center"/>
          </w:tcPr>
          <w:p w:rsidR="00A14629" w:rsidRPr="002D552A" w:rsidRDefault="00A14629" w:rsidP="000800D0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A23FA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台灣電力股份有限公司為提升數位發展推動效率，著手於策略藍圖、資料治理及數位應用等三大面向，並積極推動混成學習，透過數位學習建構基礎概念，並延續至實體課程，以培養員工數位知能。此外，藉由發展數位力充電站學習平臺、</w:t>
            </w:r>
            <w:r w:rsidRPr="00EA23FA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P</w:t>
            </w:r>
            <w:r w:rsidRPr="00EA23FA">
              <w:rPr>
                <w:rFonts w:eastAsia="標楷體" w:cs="Arial"/>
                <w:color w:val="000000" w:themeColor="text1"/>
                <w:sz w:val="28"/>
                <w:szCs w:val="28"/>
              </w:rPr>
              <w:t>ower BI Desktop</w:t>
            </w:r>
            <w:r w:rsidRPr="00EA23FA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全方位大數據分析工作坊等課程，以培育</w:t>
            </w:r>
            <w:r w:rsidRPr="00EA23FA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T</w:t>
            </w:r>
            <w:r w:rsidRPr="00EA23FA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型跨域整合型人才。推動終身學習之作為，不僅促進員工精進知能與技能，亦成就組織實現數位轉型目標，並實施導師制度、自辦訓練、外部訓練、國際交流、知識社群分享及標竿學習競賽等多元學習管道，發掘員工的潛能、提升員工多元思辨力與擴展視野，並培育前瞻思維，達到員工與公司共同成長之目的，值得褒揚。</w:t>
            </w:r>
          </w:p>
        </w:tc>
      </w:tr>
      <w:tr w:rsidR="00A14629" w:rsidRPr="002D552A" w:rsidTr="000800D0">
        <w:trPr>
          <w:jc w:val="center"/>
        </w:trPr>
        <w:tc>
          <w:tcPr>
            <w:tcW w:w="1036" w:type="pct"/>
            <w:vAlign w:val="center"/>
          </w:tcPr>
          <w:p w:rsidR="00A14629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79DD">
              <w:rPr>
                <w:rFonts w:ascii="Arial" w:eastAsia="標楷體" w:hAnsi="Arial" w:cs="Arial" w:hint="eastAsia"/>
                <w:b/>
                <w:sz w:val="28"/>
                <w:szCs w:val="28"/>
              </w:rPr>
              <w:t>文藻學校</w:t>
            </w:r>
          </w:p>
          <w:p w:rsidR="00A14629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79DD">
              <w:rPr>
                <w:rFonts w:ascii="Arial" w:eastAsia="標楷體" w:hAnsi="Arial" w:cs="Arial" w:hint="eastAsia"/>
                <w:b/>
                <w:sz w:val="28"/>
                <w:szCs w:val="28"/>
              </w:rPr>
              <w:t>財團法人</w:t>
            </w:r>
          </w:p>
          <w:p w:rsidR="00A14629" w:rsidRPr="0025569A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79DD">
              <w:rPr>
                <w:rFonts w:ascii="Arial" w:eastAsia="標楷體" w:hAnsi="Arial" w:cs="Arial" w:hint="eastAsia"/>
                <w:b/>
                <w:sz w:val="28"/>
                <w:szCs w:val="28"/>
              </w:rPr>
              <w:t>文藻外語大學</w:t>
            </w:r>
          </w:p>
          <w:p w:rsidR="00A14629" w:rsidRPr="0025569A" w:rsidRDefault="00A14629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D552A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優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等獎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964" w:type="pct"/>
            <w:vAlign w:val="center"/>
          </w:tcPr>
          <w:p w:rsidR="00A14629" w:rsidRPr="0025569A" w:rsidRDefault="00A14629" w:rsidP="000800D0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A01A0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文藻外語大學重視員工發展，積極鼓勵員工終身學習，並持續自辦研習活動，且高度重視員工學習滿意度，亦鼓勵教師透過多元管道參與校內外研討會，並實施研討會補助計畫，充分支持員工學習，持續終身學習。</w:t>
            </w:r>
          </w:p>
        </w:tc>
      </w:tr>
      <w:tr w:rsidR="00A14629" w:rsidRPr="002D552A" w:rsidTr="000800D0">
        <w:trPr>
          <w:jc w:val="center"/>
        </w:trPr>
        <w:tc>
          <w:tcPr>
            <w:tcW w:w="1036" w:type="pct"/>
            <w:vAlign w:val="center"/>
          </w:tcPr>
          <w:p w:rsidR="00A14629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79DD">
              <w:rPr>
                <w:rFonts w:ascii="Arial" w:eastAsia="標楷體" w:hAnsi="Arial" w:cs="Arial" w:hint="eastAsia"/>
                <w:b/>
                <w:sz w:val="28"/>
                <w:szCs w:val="28"/>
              </w:rPr>
              <w:t>高雄</w:t>
            </w:r>
          </w:p>
          <w:p w:rsidR="00A14629" w:rsidRPr="0025569A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79DD">
              <w:rPr>
                <w:rFonts w:ascii="Arial" w:eastAsia="標楷體" w:hAnsi="Arial" w:cs="Arial" w:hint="eastAsia"/>
                <w:b/>
                <w:sz w:val="28"/>
                <w:szCs w:val="28"/>
              </w:rPr>
              <w:t>榮民總醫院</w:t>
            </w:r>
          </w:p>
          <w:p w:rsidR="00A14629" w:rsidRPr="0025569A" w:rsidRDefault="00A14629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D552A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優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等獎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964" w:type="pct"/>
            <w:vAlign w:val="center"/>
          </w:tcPr>
          <w:p w:rsidR="00A14629" w:rsidRPr="00300A7E" w:rsidRDefault="00A14629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  <w:r w:rsidRPr="005174F3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高雄榮民總醫院訂有每年全院必修課程，積極發展學習型組織，並投入大量資源舉辦專業訓練課程，以及提供院外專業知能學習的機會，促進理論與實務相呼應，並增進專業知能與技能，以因應快速變遷的醫療技術，值得各界借鏡學習。</w:t>
            </w:r>
          </w:p>
        </w:tc>
      </w:tr>
      <w:tr w:rsidR="00A14629" w:rsidRPr="002D552A" w:rsidTr="000800D0">
        <w:trPr>
          <w:jc w:val="center"/>
        </w:trPr>
        <w:tc>
          <w:tcPr>
            <w:tcW w:w="1036" w:type="pct"/>
            <w:vAlign w:val="center"/>
          </w:tcPr>
          <w:p w:rsidR="00A14629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F7056">
              <w:rPr>
                <w:rFonts w:ascii="Arial" w:eastAsia="標楷體" w:hAnsi="Arial" w:cs="Arial" w:hint="eastAsia"/>
                <w:b/>
                <w:sz w:val="28"/>
                <w:szCs w:val="28"/>
              </w:rPr>
              <w:t>臺灣港務</w:t>
            </w:r>
          </w:p>
          <w:p w:rsidR="00A14629" w:rsidRPr="005F7056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F7056">
              <w:rPr>
                <w:rFonts w:ascii="Arial" w:eastAsia="標楷體" w:hAnsi="Arial" w:cs="Arial" w:hint="eastAsia"/>
                <w:b/>
                <w:sz w:val="28"/>
                <w:szCs w:val="28"/>
              </w:rPr>
              <w:t>股份有限公司</w:t>
            </w:r>
          </w:p>
          <w:p w:rsidR="00A14629" w:rsidRPr="008679DD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D552A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優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等獎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964" w:type="pct"/>
            <w:vAlign w:val="center"/>
          </w:tcPr>
          <w:p w:rsidR="00A14629" w:rsidRPr="00300A7E" w:rsidRDefault="00A14629" w:rsidP="000800D0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sz w:val="28"/>
                <w:szCs w:val="28"/>
              </w:rPr>
            </w:pPr>
            <w:r w:rsidRPr="005174F3">
              <w:rPr>
                <w:rFonts w:eastAsia="標楷體" w:cs="Arial" w:hint="eastAsia"/>
                <w:sz w:val="28"/>
                <w:szCs w:val="28"/>
              </w:rPr>
              <w:t>臺灣港務股份有限公司設有「港務學習地圖」，提供員工多元的內外部學習途徑，並依據員工職涯各階段，訂有培訓進修之具體要點，包括人才養成班與進階班培訓計畫，以及六星主管培育計畫等，亦與時俱進持續進行滾動式調整，使之更加完善，且建立課後成效追蹤調查機制，制度縝密且完備。</w:t>
            </w:r>
          </w:p>
        </w:tc>
      </w:tr>
      <w:tr w:rsidR="00A14629" w:rsidRPr="002D552A" w:rsidTr="000800D0">
        <w:trPr>
          <w:jc w:val="center"/>
        </w:trPr>
        <w:tc>
          <w:tcPr>
            <w:tcW w:w="1036" w:type="pct"/>
            <w:vAlign w:val="center"/>
          </w:tcPr>
          <w:p w:rsidR="00A14629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300A7E">
              <w:rPr>
                <w:rFonts w:ascii="Arial" w:eastAsia="標楷體" w:hAnsi="Arial" w:cs="Arial" w:hint="eastAsia"/>
                <w:b/>
                <w:sz w:val="28"/>
                <w:szCs w:val="28"/>
              </w:rPr>
              <w:t>國家</w:t>
            </w:r>
          </w:p>
          <w:p w:rsidR="00A14629" w:rsidRPr="005F7056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300A7E">
              <w:rPr>
                <w:rFonts w:ascii="Arial" w:eastAsia="標楷體" w:hAnsi="Arial" w:cs="Arial" w:hint="eastAsia"/>
                <w:b/>
                <w:sz w:val="28"/>
                <w:szCs w:val="28"/>
              </w:rPr>
              <w:t>環境研究院</w:t>
            </w:r>
          </w:p>
          <w:p w:rsidR="00A14629" w:rsidRPr="007F0EBD" w:rsidRDefault="00A14629" w:rsidP="000800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2D552A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優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等獎</w:t>
            </w:r>
            <w:r w:rsidRPr="002D552A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964" w:type="pct"/>
            <w:vAlign w:val="center"/>
          </w:tcPr>
          <w:p w:rsidR="00A14629" w:rsidRPr="002D552A" w:rsidRDefault="00A14629" w:rsidP="000800D0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174F3">
              <w:rPr>
                <w:rFonts w:eastAsia="標楷體" w:cs="Arial" w:hint="eastAsia"/>
                <w:sz w:val="28"/>
                <w:szCs w:val="28"/>
              </w:rPr>
              <w:t>國家環境研究院</w:t>
            </w:r>
            <w:r w:rsidRPr="00300A7E">
              <w:rPr>
                <w:rFonts w:eastAsia="標楷體" w:cs="Arial" w:hint="eastAsia"/>
              </w:rPr>
              <w:t>（原行政院環境保護署環境檢驗所）</w:t>
            </w:r>
            <w:r w:rsidRPr="005174F3">
              <w:rPr>
                <w:rFonts w:eastAsia="標楷體" w:cs="Arial" w:hint="eastAsia"/>
                <w:sz w:val="28"/>
                <w:szCs w:val="28"/>
              </w:rPr>
              <w:t>制定完善之訓練進修計畫，不僅注重員工基本共通能力，亦重視提升員工管理能力與專業知能，且鼓勵員工參與學位課程及國外專題研究，致力提升員工實務視野，使其具備終身學習行動能力。</w:t>
            </w:r>
          </w:p>
        </w:tc>
      </w:tr>
    </w:tbl>
    <w:p w:rsidR="005744FD" w:rsidRPr="00A14629" w:rsidRDefault="005744FD"/>
    <w:sectPr w:rsidR="005744FD" w:rsidRPr="00A14629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9"/>
    <w:rsid w:val="00300DFE"/>
    <w:rsid w:val="005744FD"/>
    <w:rsid w:val="00A14629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0D3C0-19A3-4D5E-8A52-BB19C56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9"/>
    <w:pPr>
      <w:ind w:left="480"/>
    </w:pPr>
    <w:rPr>
      <w:rFonts w:ascii="Calibri" w:hAnsi="Calibri"/>
      <w:szCs w:val="22"/>
    </w:rPr>
  </w:style>
  <w:style w:type="paragraph" w:customStyle="1" w:styleId="Listeafsnit">
    <w:name w:val="Listeafsnit"/>
    <w:basedOn w:val="a"/>
    <w:qFormat/>
    <w:rsid w:val="00A14629"/>
    <w:pPr>
      <w:widowControl/>
      <w:ind w:left="720"/>
      <w:contextualSpacing/>
    </w:pPr>
    <w:rPr>
      <w:rFonts w:eastAsia="Times New Roman"/>
      <w:kern w:val="0"/>
      <w:lang w:val="da-DK" w:eastAsia="da-DK"/>
    </w:rPr>
  </w:style>
  <w:style w:type="table" w:styleId="a4">
    <w:name w:val="Table Grid"/>
    <w:basedOn w:val="a1"/>
    <w:uiPriority w:val="39"/>
    <w:rsid w:val="00A146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2023-10-11T07:02:00Z</dcterms:created>
  <dcterms:modified xsi:type="dcterms:W3CDTF">2023-10-11T07:03:00Z</dcterms:modified>
</cp:coreProperties>
</file>