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79" w:rsidRPr="000C0479" w:rsidRDefault="000C0479" w:rsidP="000C0479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14141"/>
          <w:kern w:val="0"/>
          <w:sz w:val="21"/>
          <w:szCs w:val="21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1787"/>
        <w:gridCol w:w="1920"/>
        <w:gridCol w:w="1920"/>
      </w:tblGrid>
      <w:tr w:rsidR="000C0479" w:rsidRPr="000C0479" w:rsidTr="000C0479">
        <w:trPr>
          <w:trHeight w:val="375"/>
        </w:trPr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保守型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穩健型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積極型</w:t>
            </w:r>
          </w:p>
        </w:tc>
      </w:tr>
      <w:tr w:rsidR="000C0479" w:rsidRPr="000C0479" w:rsidTr="000C0479">
        <w:trPr>
          <w:trHeight w:val="720"/>
        </w:trPr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累積收益率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(102.3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月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~106.12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月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8.31%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27.77%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27.75%</w:t>
            </w:r>
          </w:p>
        </w:tc>
      </w:tr>
      <w:tr w:rsidR="000C0479" w:rsidRPr="000C0479" w:rsidTr="000C0479">
        <w:trPr>
          <w:trHeight w:val="720"/>
        </w:trPr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106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年收益率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(A)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1.31%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5.60%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9.76%</w:t>
            </w:r>
          </w:p>
        </w:tc>
      </w:tr>
      <w:tr w:rsidR="000C0479" w:rsidRPr="000C0479" w:rsidTr="000C0479">
        <w:trPr>
          <w:trHeight w:val="720"/>
        </w:trPr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106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年匯兌損失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(B)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-3.57%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-4.16%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-3.99%</w:t>
            </w:r>
          </w:p>
        </w:tc>
      </w:tr>
      <w:tr w:rsidR="000C0479" w:rsidRPr="000C0479" w:rsidTr="000C0479">
        <w:trPr>
          <w:trHeight w:val="720"/>
        </w:trPr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不含匯兌損失之</w:t>
            </w:r>
          </w:p>
          <w:p w:rsidR="000C0479" w:rsidRPr="000C0479" w:rsidRDefault="000C0479" w:rsidP="000C0479">
            <w:pPr>
              <w:widowControl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106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年收益率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(C)=(A-B)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4.88%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9.76%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13.75%</w:t>
            </w:r>
          </w:p>
        </w:tc>
      </w:tr>
      <w:tr w:rsidR="000C0479" w:rsidRPr="000C0479" w:rsidTr="000C0479">
        <w:trPr>
          <w:trHeight w:val="720"/>
        </w:trPr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106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年資</w:t>
            </w:r>
            <w:proofErr w:type="gramStart"/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本利得型基金</w:t>
            </w:r>
            <w:proofErr w:type="gramEnd"/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(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股票型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)</w:t>
            </w: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配置比重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股：</w:t>
            </w: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19.94%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股：</w:t>
            </w: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47.54%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股：</w:t>
            </w: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64.12%</w:t>
            </w:r>
          </w:p>
        </w:tc>
      </w:tr>
      <w:tr w:rsidR="000C0479" w:rsidRPr="000C0479" w:rsidTr="000C0479">
        <w:trPr>
          <w:trHeight w:val="720"/>
        </w:trPr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b/>
                <w:bCs/>
                <w:color w:val="414141"/>
                <w:kern w:val="0"/>
                <w:sz w:val="21"/>
                <w:szCs w:val="21"/>
                <w:bdr w:val="none" w:sz="0" w:space="0" w:color="auto" w:frame="1"/>
              </w:rPr>
              <w:t>平均收益率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1.72%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5.75%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0C0479" w:rsidRPr="000C0479" w:rsidRDefault="000C0479" w:rsidP="000C0479">
            <w:pPr>
              <w:widowControl/>
              <w:jc w:val="right"/>
              <w:textAlignment w:val="baseline"/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</w:pPr>
            <w:r w:rsidRPr="000C0479">
              <w:rPr>
                <w:rFonts w:ascii="Arial" w:eastAsia="新細明體" w:hAnsi="Arial" w:cs="Arial"/>
                <w:color w:val="414141"/>
                <w:kern w:val="0"/>
                <w:sz w:val="21"/>
                <w:szCs w:val="21"/>
              </w:rPr>
              <w:t>5.74%</w:t>
            </w:r>
          </w:p>
        </w:tc>
      </w:tr>
    </w:tbl>
    <w:p w:rsidR="000C0479" w:rsidRPr="000C0479" w:rsidRDefault="000C0479" w:rsidP="000C0479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14141"/>
          <w:kern w:val="0"/>
          <w:sz w:val="21"/>
          <w:szCs w:val="21"/>
        </w:rPr>
      </w:pPr>
    </w:p>
    <w:p w:rsidR="00FB38A5" w:rsidRDefault="000C0479">
      <w:bookmarkStart w:id="0" w:name="_GoBack"/>
      <w:bookmarkEnd w:id="0"/>
    </w:p>
    <w:sectPr w:rsidR="00FB38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79"/>
    <w:rsid w:val="000C0479"/>
    <w:rsid w:val="007A5EBF"/>
    <w:rsid w:val="008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7BA-01E2-48FC-9505-B4E041FF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鄭諺澧</dc:creator>
  <cp:keywords/>
  <dc:description/>
  <cp:lastModifiedBy>鄭諺澧</cp:lastModifiedBy>
  <cp:revision>1</cp:revision>
  <dcterms:created xsi:type="dcterms:W3CDTF">2022-05-05T08:40:00Z</dcterms:created>
  <dcterms:modified xsi:type="dcterms:W3CDTF">2022-05-05T08:41:00Z</dcterms:modified>
</cp:coreProperties>
</file>