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2345342"/>
    <w:p w:rsidR="00A507A7" w:rsidRPr="001E549B" w:rsidRDefault="006F2E28" w:rsidP="00A507A7">
      <w:pPr>
        <w:spacing w:line="500" w:lineRule="exact"/>
        <w:jc w:val="center"/>
        <w:rPr>
          <w:rFonts w:ascii="標楷體" w:eastAsia="標楷體" w:hAnsi="標楷體"/>
          <w:b/>
          <w:spacing w:val="-6"/>
          <w:sz w:val="36"/>
          <w:szCs w:val="36"/>
        </w:rPr>
      </w:pPr>
      <w:r w:rsidRPr="006F2E28">
        <w:rPr>
          <w:rFonts w:ascii="標楷體" w:eastAsia="標楷體" w:hAnsi="標楷體" w:cs="標楷體"/>
          <w:b/>
          <w:bCs/>
          <w:noProof/>
          <w:spacing w:val="-10"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D5CB3" wp14:editId="426A32CB">
                <wp:simplePos x="0" y="0"/>
                <wp:positionH relativeFrom="margin">
                  <wp:posOffset>-243840</wp:posOffset>
                </wp:positionH>
                <wp:positionV relativeFrom="paragraph">
                  <wp:posOffset>-348615</wp:posOffset>
                </wp:positionV>
                <wp:extent cx="5619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E28" w:rsidRPr="006F2E28" w:rsidRDefault="006F2E28" w:rsidP="006F2E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2E2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D5C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2pt;margin-top:-27.45pt;width: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">
                <v:textbox style="mso-fit-shape-to-text:t">
                  <w:txbxContent>
                    <w:p w:rsidR="006F2E28" w:rsidRPr="006F2E28" w:rsidRDefault="006F2E28" w:rsidP="006F2E2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6F2E28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7A7" w:rsidRPr="001E549B">
        <w:rPr>
          <w:rFonts w:ascii="標楷體" w:eastAsia="標楷體" w:hAnsi="標楷體" w:hint="eastAsia"/>
          <w:b/>
          <w:spacing w:val="-6"/>
          <w:sz w:val="36"/>
          <w:szCs w:val="36"/>
        </w:rPr>
        <w:t>1</w:t>
      </w:r>
      <w:r w:rsidR="00A507A7">
        <w:rPr>
          <w:rFonts w:ascii="標楷體" w:eastAsia="標楷體" w:hAnsi="標楷體" w:hint="eastAsia"/>
          <w:b/>
          <w:spacing w:val="-6"/>
          <w:sz w:val="36"/>
          <w:szCs w:val="36"/>
        </w:rPr>
        <w:t>12</w:t>
      </w:r>
      <w:r w:rsidR="00A507A7" w:rsidRPr="001E549B">
        <w:rPr>
          <w:rFonts w:ascii="標楷體" w:eastAsia="標楷體" w:hAnsi="標楷體" w:hint="eastAsia"/>
          <w:b/>
          <w:spacing w:val="-6"/>
          <w:sz w:val="36"/>
          <w:szCs w:val="36"/>
        </w:rPr>
        <w:t>年大專校院原住民族學生資源中心</w:t>
      </w:r>
      <w:r w:rsidR="007802BE" w:rsidRPr="001E549B">
        <w:rPr>
          <w:rFonts w:ascii="標楷體" w:eastAsia="標楷體" w:hAnsi="標楷體" w:hint="eastAsia"/>
          <w:b/>
          <w:spacing w:val="-6"/>
          <w:sz w:val="36"/>
          <w:szCs w:val="36"/>
        </w:rPr>
        <w:t>績優</w:t>
      </w:r>
      <w:r w:rsidR="00A507A7">
        <w:rPr>
          <w:rFonts w:ascii="標楷體" w:eastAsia="標楷體" w:hAnsi="標楷體" w:hint="eastAsia"/>
          <w:b/>
          <w:spacing w:val="-6"/>
          <w:sz w:val="36"/>
          <w:szCs w:val="36"/>
        </w:rPr>
        <w:t>學校及人員</w:t>
      </w:r>
      <w:bookmarkEnd w:id="0"/>
    </w:p>
    <w:p w:rsidR="00A507A7" w:rsidRPr="000D16A5" w:rsidRDefault="0068176E" w:rsidP="00A507A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8176E">
        <w:rPr>
          <w:rFonts w:ascii="標楷體" w:eastAsia="標楷體" w:hAnsi="標楷體" w:hint="eastAsia"/>
          <w:b/>
          <w:sz w:val="36"/>
          <w:szCs w:val="36"/>
        </w:rPr>
        <w:t>名單與獲</w:t>
      </w:r>
      <w:r w:rsidRPr="000D16A5">
        <w:rPr>
          <w:rFonts w:ascii="標楷體" w:eastAsia="標楷體" w:hAnsi="標楷體" w:hint="eastAsia"/>
          <w:b/>
          <w:sz w:val="36"/>
          <w:szCs w:val="36"/>
        </w:rPr>
        <w:t>獎</w:t>
      </w:r>
      <w:r w:rsidR="00CB0FB7" w:rsidRPr="000D16A5">
        <w:rPr>
          <w:rFonts w:ascii="標楷體" w:eastAsia="標楷體" w:hAnsi="標楷體" w:hint="eastAsia"/>
          <w:b/>
          <w:sz w:val="36"/>
          <w:szCs w:val="36"/>
        </w:rPr>
        <w:t>事蹟</w:t>
      </w:r>
    </w:p>
    <w:p w:rsidR="00A507A7" w:rsidRPr="00D317E3" w:rsidRDefault="00A507A7" w:rsidP="006F2E28">
      <w:pPr>
        <w:numPr>
          <w:ilvl w:val="0"/>
          <w:numId w:val="1"/>
        </w:numPr>
        <w:spacing w:beforeLines="100" w:before="360" w:afterLines="100" w:after="360" w:line="400" w:lineRule="exact"/>
        <w:ind w:left="709" w:hanging="709"/>
        <w:rPr>
          <w:rFonts w:ascii="標楷體" w:eastAsia="標楷體" w:hAnsi="標楷體" w:cs="標楷體"/>
          <w:b/>
          <w:bCs/>
          <w:spacing w:val="-10"/>
          <w:sz w:val="32"/>
          <w:szCs w:val="36"/>
        </w:rPr>
      </w:pPr>
      <w:r w:rsidRPr="00D317E3">
        <w:rPr>
          <w:rFonts w:ascii="標楷體" w:eastAsia="標楷體" w:hAnsi="標楷體" w:cs="標楷體" w:hint="eastAsia"/>
          <w:b/>
          <w:bCs/>
          <w:spacing w:val="-10"/>
          <w:sz w:val="32"/>
          <w:szCs w:val="36"/>
        </w:rPr>
        <w:t>績優學校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507A7" w:rsidRPr="00A507A7" w:rsidTr="006A571E">
        <w:trPr>
          <w:trHeight w:val="284"/>
          <w:tblHeader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507A7" w:rsidRPr="00A507A7" w:rsidRDefault="00A507A7" w:rsidP="00A507A7">
            <w:pPr>
              <w:widowControl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獲獎學校：中國文化大學</w:t>
            </w:r>
          </w:p>
        </w:tc>
      </w:tr>
      <w:tr w:rsidR="00A507A7" w:rsidRPr="00A507A7" w:rsidTr="006A571E">
        <w:trPr>
          <w:trHeight w:val="101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7" w:rsidRPr="00A507A7" w:rsidRDefault="00A507A7" w:rsidP="00A507A7">
            <w:pPr>
              <w:widowControl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學校設有跨單位且具有實質功能的「原住民族學生資源委員會」，原住民族學生資源中心</w:t>
            </w:r>
            <w:r w:rsidR="006F2E28"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以下</w:t>
            </w:r>
            <w:proofErr w:type="gramStart"/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簡稱原資中心</w:t>
            </w:r>
            <w:proofErr w:type="gramEnd"/>
            <w:r w:rsidR="006F2E28"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並未陷入單打獨鬥處境，年度計畫能夠透過前述委員會，發揮橫向連繫、分工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工作綜整實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效。譬如在各項具體績效的說明中，能夠逐項明列實際執行單位(包括主、協辦)，且橫跨教務、學</w:t>
            </w: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務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、心輔、圖書館等各單位。</w:t>
            </w:r>
          </w:p>
          <w:p w:rsidR="00A507A7" w:rsidRPr="00A507A7" w:rsidRDefault="00A507A7" w:rsidP="00A507A7">
            <w:pPr>
              <w:widowControl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學校能運用包括校務</w:t>
            </w:r>
            <w:r w:rsidRPr="00A507A7">
              <w:rPr>
                <w:rFonts w:ascii="標楷體" w:eastAsia="標楷體" w:hAnsi="標楷體" w:cs="Arial"/>
                <w:sz w:val="28"/>
                <w:szCs w:val="28"/>
              </w:rPr>
              <w:t>IR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之分析工具，彙整及比對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原住民學生(以下簡稱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原民生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基本資料，並將相關數據運用於原民生輔導工作，且建立預警機制。</w:t>
            </w:r>
          </w:p>
          <w:p w:rsidR="00A507A7" w:rsidRPr="00A507A7" w:rsidRDefault="00A507A7" w:rsidP="00A507A7">
            <w:pPr>
              <w:widowControl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學校能協調原資中心跨出自身職權範圍，協調校內其他單位共同推動全民原教工作。譬如圖書館舉辦原民文化宣傳展覽，意即為此類活動之有效範例。</w:t>
            </w:r>
          </w:p>
        </w:tc>
      </w:tr>
    </w:tbl>
    <w:p w:rsidR="00A507A7" w:rsidRPr="00A507A7" w:rsidRDefault="00A507A7" w:rsidP="00A507A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507A7" w:rsidRPr="00A507A7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A507A7" w:rsidRPr="00A507A7" w:rsidRDefault="00A507A7" w:rsidP="00A507A7">
            <w:pPr>
              <w:widowControl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獲獎學校：國立屏東大學</w:t>
            </w:r>
          </w:p>
        </w:tc>
      </w:tr>
      <w:tr w:rsidR="00A507A7" w:rsidRPr="00A507A7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A507A7" w:rsidRPr="00A507A7" w:rsidRDefault="00A507A7" w:rsidP="00A507A7">
            <w:pPr>
              <w:widowControl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學校原資中心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善於鼓勵學生組成</w:t>
            </w: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各類小社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群(包括串門子、讀書會、小團體輔導)，透過相對緊密的同儕連結，提升族群認同、維持學習熱度、架構原民生校園生活互助及防護網絡。</w:t>
            </w:r>
          </w:p>
          <w:p w:rsidR="00A507A7" w:rsidRPr="00A507A7" w:rsidRDefault="00A507A7" w:rsidP="00A507A7">
            <w:pPr>
              <w:widowControl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學校原資中心善於掌握時下原民年輕人生活及生命脈動，且將文化及課業學習連結。譬如自媒體人才培力工作進行</w:t>
            </w: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多時，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透過影音產出</w:t>
            </w:r>
            <w:bookmarkStart w:id="1" w:name="_Hlk152342237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，凝聚校內原民生向心力，亦能增加學校原民生於校內、外的曝光度，增進各界對原住民族面貌的認識與理解。</w:t>
            </w:r>
            <w:bookmarkEnd w:id="1"/>
          </w:p>
          <w:p w:rsidR="00A507A7" w:rsidRPr="00A507A7" w:rsidRDefault="00A507A7" w:rsidP="00A507A7">
            <w:pPr>
              <w:widowControl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學校原資中心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善用其區位條件(鄰近原民地區</w:t>
            </w:r>
            <w:r w:rsidRPr="00A507A7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及校內原民教師(或資深從事原民研究之教師</w:t>
            </w:r>
            <w:r w:rsidRPr="00A507A7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人脈資源，系統性地將各種活動與部落密切結合。將學生帶回部落從事學習及服務工作，同時也將鄰近部落族人帶進校園，在校園內成為原民文化的另類傳授者。</w:t>
            </w:r>
          </w:p>
        </w:tc>
      </w:tr>
    </w:tbl>
    <w:p w:rsidR="00394FBD" w:rsidRPr="00A507A7" w:rsidRDefault="00394FBD"/>
    <w:p w:rsidR="00A507A7" w:rsidRDefault="00A507A7">
      <w:r>
        <w:br w:type="page"/>
      </w:r>
    </w:p>
    <w:p w:rsidR="00A507A7" w:rsidRPr="00D317E3" w:rsidRDefault="00A507A7" w:rsidP="006F2E28">
      <w:pPr>
        <w:numPr>
          <w:ilvl w:val="0"/>
          <w:numId w:val="1"/>
        </w:numPr>
        <w:spacing w:beforeLines="100" w:before="360" w:afterLines="100" w:after="360" w:line="400" w:lineRule="exact"/>
        <w:ind w:left="709" w:hanging="709"/>
        <w:rPr>
          <w:rFonts w:ascii="標楷體" w:eastAsia="標楷體" w:hAnsi="標楷體" w:cs="標楷體"/>
          <w:b/>
          <w:bCs/>
          <w:spacing w:val="-10"/>
          <w:sz w:val="32"/>
          <w:szCs w:val="36"/>
        </w:rPr>
      </w:pPr>
      <w:r w:rsidRPr="00D317E3">
        <w:rPr>
          <w:rFonts w:ascii="標楷體" w:eastAsia="標楷體" w:hAnsi="標楷體" w:cs="標楷體" w:hint="eastAsia"/>
          <w:b/>
          <w:bCs/>
          <w:spacing w:val="-10"/>
          <w:sz w:val="32"/>
          <w:szCs w:val="36"/>
        </w:rPr>
        <w:lastRenderedPageBreak/>
        <w:t>績優</w:t>
      </w:r>
      <w:r>
        <w:rPr>
          <w:rFonts w:ascii="標楷體" w:eastAsia="標楷體" w:hAnsi="標楷體" w:cs="標楷體" w:hint="eastAsia"/>
          <w:b/>
          <w:bCs/>
          <w:spacing w:val="-10"/>
          <w:sz w:val="32"/>
          <w:szCs w:val="36"/>
        </w:rPr>
        <w:t>主管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507A7" w:rsidRPr="00EF69C0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A507A7" w:rsidRPr="00EF69C0" w:rsidRDefault="00A507A7" w:rsidP="006A571E">
            <w:pPr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獲獎主管：林杏                           任職學校：明新科技大學</w:t>
            </w:r>
          </w:p>
        </w:tc>
      </w:tr>
      <w:tr w:rsidR="00A507A7" w:rsidRPr="00EF69C0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6F2E28" w:rsidRDefault="006F2E28" w:rsidP="006F2E28">
            <w:pPr>
              <w:spacing w:line="400" w:lineRule="exact"/>
              <w:ind w:left="602" w:hangingChars="215" w:hanging="60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一、該校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設原民處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，林處長為一級單位主管，有效協調並統整各單位資源。</w:t>
            </w:r>
          </w:p>
          <w:p w:rsidR="00A507A7" w:rsidRPr="008A6F7E" w:rsidRDefault="006F2E28" w:rsidP="006A571E">
            <w:pPr>
              <w:spacing w:line="400" w:lineRule="exact"/>
              <w:ind w:left="602" w:hangingChars="215" w:hanging="60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、該校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自109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proofErr w:type="gramStart"/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設立原資中心</w:t>
            </w:r>
            <w:proofErr w:type="gramEnd"/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以來，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林處長即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擔任主管職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至今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全力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推動全民原教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及校內相關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事務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A507A7" w:rsidRPr="008A6F7E" w:rsidRDefault="006F2E28" w:rsidP="006A571E">
            <w:pPr>
              <w:spacing w:line="400" w:lineRule="exact"/>
              <w:ind w:left="602" w:hangingChars="215" w:hanging="60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三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推動友善校園環境文化建構工程，</w:t>
            </w:r>
            <w:proofErr w:type="gramStart"/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強化原資中心</w:t>
            </w:r>
            <w:proofErr w:type="gramEnd"/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功能，增設多功能空間與圖書資訊，強化原民生與中心之互動連結性。</w:t>
            </w:r>
          </w:p>
          <w:p w:rsidR="00A507A7" w:rsidRDefault="006F2E28" w:rsidP="006A571E">
            <w:pPr>
              <w:spacing w:line="400" w:lineRule="exact"/>
              <w:ind w:left="602" w:hangingChars="215" w:hanging="60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四</w:t>
            </w:r>
            <w:r w:rsidR="00A507A7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="00A507A7" w:rsidRPr="008A6F7E">
              <w:rPr>
                <w:rFonts w:ascii="標楷體" w:eastAsia="標楷體" w:hAnsi="標楷體" w:cs="Arial" w:hint="eastAsia"/>
                <w:sz w:val="28"/>
                <w:szCs w:val="28"/>
              </w:rPr>
              <w:t>在校園中積極媒合原住民族相關資源，帶動校園多元族群事務。</w:t>
            </w:r>
          </w:p>
          <w:p w:rsidR="00A507A7" w:rsidRPr="00A507A7" w:rsidRDefault="00A507A7" w:rsidP="00A507A7">
            <w:pPr>
              <w:spacing w:line="400" w:lineRule="exact"/>
              <w:ind w:left="602" w:hangingChars="215" w:hanging="60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五、為該校導入資源與地方政府原民機構建立合作關係。</w:t>
            </w:r>
          </w:p>
        </w:tc>
      </w:tr>
    </w:tbl>
    <w:p w:rsidR="00A507A7" w:rsidRPr="00A507A7" w:rsidRDefault="00A507A7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507A7" w:rsidRPr="00A507A7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A507A7" w:rsidRPr="00A507A7" w:rsidRDefault="00A507A7" w:rsidP="00A507A7">
            <w:pPr>
              <w:widowControl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獲獎主管：熊同鑫                         任職學校：國立</w:t>
            </w:r>
            <w:proofErr w:type="gramStart"/>
            <w:r w:rsidRPr="00A507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臺</w:t>
            </w:r>
            <w:proofErr w:type="gramEnd"/>
            <w:r w:rsidRPr="00A507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東大學</w:t>
            </w:r>
          </w:p>
        </w:tc>
      </w:tr>
      <w:tr w:rsidR="00A507A7" w:rsidRPr="00A507A7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A507A7" w:rsidRPr="00A507A7" w:rsidRDefault="00A507A7" w:rsidP="00E61DCD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一、熊主任擔任該職位服務年資長達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年，經驗資深，長期且持續推展原住民族相關事務。</w:t>
            </w:r>
          </w:p>
          <w:p w:rsidR="00A507A7" w:rsidRPr="00A507A7" w:rsidRDefault="00A507A7" w:rsidP="00E61DCD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二、在</w:t>
            </w: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東深耕原住民族教育多年，結合教育專業，期間致力推動各項原民事務與</w:t>
            </w:r>
            <w:r w:rsidR="006F2E28"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建構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友善校園。</w:t>
            </w:r>
          </w:p>
          <w:p w:rsidR="00A507A7" w:rsidRPr="00A507A7" w:rsidRDefault="00A507A7" w:rsidP="00E61DCD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三、教育部東區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及專科區</w:t>
            </w:r>
            <w:proofErr w:type="gramStart"/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區域原資中心</w:t>
            </w:r>
            <w:proofErr w:type="gramEnd"/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由</w:t>
            </w:r>
            <w:r w:rsidR="00E61DCD">
              <w:rPr>
                <w:rFonts w:ascii="標楷體" w:eastAsia="標楷體" w:hAnsi="標楷體" w:cs="Arial" w:hint="eastAsia"/>
                <w:sz w:val="28"/>
                <w:szCs w:val="28"/>
              </w:rPr>
              <w:t>國立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臺東大學擔任主召集學校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服務並引領該區各夥伴學校。</w:t>
            </w:r>
          </w:p>
          <w:p w:rsidR="00A507A7" w:rsidRPr="00A507A7" w:rsidRDefault="00A507A7" w:rsidP="00E61DCD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Arial"/>
              </w:rPr>
            </w:pP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四、東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區及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專</w:t>
            </w:r>
            <w:r w:rsidR="006F2E28">
              <w:rPr>
                <w:rFonts w:ascii="標楷體" w:eastAsia="標楷體" w:hAnsi="標楷體" w:cs="Arial" w:hint="eastAsia"/>
                <w:sz w:val="28"/>
                <w:szCs w:val="28"/>
              </w:rPr>
              <w:t>科</w:t>
            </w:r>
            <w:r w:rsidRPr="00A507A7">
              <w:rPr>
                <w:rFonts w:ascii="標楷體" w:eastAsia="標楷體" w:hAnsi="標楷體" w:cs="Arial" w:hint="eastAsia"/>
                <w:sz w:val="28"/>
                <w:szCs w:val="28"/>
              </w:rPr>
              <w:t>區學校幅員廣闊，且每年皆籌辦成果展，整合該區各校的亮點，進而推動全民原教。</w:t>
            </w:r>
          </w:p>
        </w:tc>
      </w:tr>
    </w:tbl>
    <w:p w:rsidR="00A507A7" w:rsidRPr="00A507A7" w:rsidRDefault="00A507A7"/>
    <w:p w:rsidR="00A507A7" w:rsidRDefault="00A507A7">
      <w:r>
        <w:br w:type="page"/>
      </w:r>
    </w:p>
    <w:p w:rsidR="00C94014" w:rsidRPr="00D317E3" w:rsidRDefault="00C94014" w:rsidP="006F2E28">
      <w:pPr>
        <w:numPr>
          <w:ilvl w:val="0"/>
          <w:numId w:val="1"/>
        </w:numPr>
        <w:spacing w:beforeLines="100" w:before="360" w:afterLines="100" w:after="360" w:line="400" w:lineRule="exact"/>
        <w:ind w:left="709" w:hanging="709"/>
        <w:rPr>
          <w:rFonts w:ascii="標楷體" w:eastAsia="標楷體" w:hAnsi="標楷體" w:cs="標楷體"/>
          <w:b/>
          <w:bCs/>
          <w:spacing w:val="-10"/>
          <w:sz w:val="32"/>
          <w:szCs w:val="36"/>
        </w:rPr>
      </w:pPr>
      <w:r w:rsidRPr="00D317E3">
        <w:rPr>
          <w:rFonts w:ascii="標楷體" w:eastAsia="標楷體" w:hAnsi="標楷體" w:cs="標楷體" w:hint="eastAsia"/>
          <w:b/>
          <w:bCs/>
          <w:spacing w:val="-10"/>
          <w:sz w:val="32"/>
          <w:szCs w:val="36"/>
        </w:rPr>
        <w:lastRenderedPageBreak/>
        <w:t>績優</w:t>
      </w:r>
      <w:r>
        <w:rPr>
          <w:rFonts w:ascii="標楷體" w:eastAsia="標楷體" w:hAnsi="標楷體" w:cs="標楷體" w:hint="eastAsia"/>
          <w:b/>
          <w:bCs/>
          <w:spacing w:val="-10"/>
          <w:sz w:val="32"/>
          <w:szCs w:val="36"/>
        </w:rPr>
        <w:t>專任人員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C94014" w:rsidRPr="00C94014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C94014" w:rsidRPr="00C94014" w:rsidRDefault="00C94014" w:rsidP="00C94014">
            <w:pPr>
              <w:widowControl/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 w:rsidRPr="00C94014">
              <w:rPr>
                <w:rFonts w:eastAsia="標楷體"/>
                <w:b/>
                <w:sz w:val="28"/>
                <w:szCs w:val="28"/>
              </w:rPr>
              <w:t>獲獎專任人員：芬嫩</w:t>
            </w:r>
            <w:proofErr w:type="gramStart"/>
            <w:r w:rsidRPr="00C94014">
              <w:rPr>
                <w:rFonts w:eastAsia="標楷體"/>
                <w:b/>
                <w:sz w:val="28"/>
                <w:szCs w:val="28"/>
              </w:rPr>
              <w:t>‧</w:t>
            </w:r>
            <w:r w:rsidRPr="00C94014">
              <w:rPr>
                <w:rFonts w:eastAsia="標楷體"/>
                <w:b/>
                <w:sz w:val="28"/>
                <w:szCs w:val="28"/>
              </w:rPr>
              <w:t>陶卡</w:t>
            </w:r>
            <w:proofErr w:type="gramEnd"/>
            <w:r w:rsidRPr="00C94014">
              <w:rPr>
                <w:rFonts w:eastAsia="標楷體"/>
                <w:b/>
                <w:sz w:val="28"/>
                <w:szCs w:val="28"/>
              </w:rPr>
              <w:t>得</w:t>
            </w:r>
            <w:r w:rsidRPr="00C94014">
              <w:rPr>
                <w:rFonts w:eastAsia="標楷體"/>
                <w:b/>
                <w:sz w:val="28"/>
                <w:szCs w:val="28"/>
              </w:rPr>
              <w:t xml:space="preserve">             </w:t>
            </w:r>
            <w:r w:rsidRPr="00C94014">
              <w:rPr>
                <w:rFonts w:eastAsia="標楷體"/>
                <w:b/>
                <w:sz w:val="28"/>
                <w:szCs w:val="28"/>
              </w:rPr>
              <w:t>任職學校：國立屏東科技大學</w:t>
            </w:r>
          </w:p>
        </w:tc>
      </w:tr>
      <w:tr w:rsidR="00C94014" w:rsidRPr="00C94014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C94014" w:rsidRPr="00C94014" w:rsidRDefault="00C94014" w:rsidP="00C94014">
            <w:pPr>
              <w:widowControl/>
              <w:numPr>
                <w:ilvl w:val="0"/>
                <w:numId w:val="5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C94014">
              <w:rPr>
                <w:rFonts w:eastAsia="標楷體" w:hint="eastAsia"/>
                <w:sz w:val="28"/>
                <w:szCs w:val="28"/>
              </w:rPr>
              <w:t>在工作執行上，採取學習共做的方式，帶領原民生共同辦理活動，引導同學們在各項活動能有更主動、積極的角色與任務，在活動結束後，也會共同交流、討論後續精進</w:t>
            </w:r>
            <w:r w:rsidR="006F2E28">
              <w:rPr>
                <w:rFonts w:eastAsia="標楷體" w:hint="eastAsia"/>
                <w:sz w:val="28"/>
                <w:szCs w:val="28"/>
              </w:rPr>
              <w:t>做</w:t>
            </w:r>
            <w:r w:rsidRPr="00C94014">
              <w:rPr>
                <w:rFonts w:eastAsia="標楷體" w:hint="eastAsia"/>
                <w:sz w:val="28"/>
                <w:szCs w:val="28"/>
              </w:rPr>
              <w:t>法，培養同學們循序漸進</w:t>
            </w:r>
            <w:r w:rsidR="006F2E28">
              <w:rPr>
                <w:rFonts w:eastAsia="標楷體" w:hint="eastAsia"/>
                <w:sz w:val="28"/>
                <w:szCs w:val="28"/>
              </w:rPr>
              <w:t>地</w:t>
            </w:r>
            <w:r w:rsidRPr="00C94014">
              <w:rPr>
                <w:rFonts w:eastAsia="標楷體" w:hint="eastAsia"/>
                <w:sz w:val="28"/>
                <w:szCs w:val="28"/>
              </w:rPr>
              <w:t>展現規劃與執行能力，參與式學習產生培育效果。</w:t>
            </w:r>
          </w:p>
          <w:p w:rsidR="00C94014" w:rsidRPr="006F2E28" w:rsidRDefault="00C94014" w:rsidP="006F2E28">
            <w:pPr>
              <w:widowControl/>
              <w:numPr>
                <w:ilvl w:val="0"/>
                <w:numId w:val="5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C94014">
              <w:rPr>
                <w:rFonts w:eastAsia="標楷體" w:hint="eastAsia"/>
                <w:sz w:val="28"/>
                <w:szCs w:val="28"/>
              </w:rPr>
              <w:t>規劃並邀請在地族人進行相關課程或學習活動，讓族人與校內師生進行共學，達到在地知識共享，</w:t>
            </w:r>
            <w:r w:rsidR="006F2E28">
              <w:rPr>
                <w:rFonts w:eastAsia="標楷體" w:hint="eastAsia"/>
                <w:sz w:val="28"/>
                <w:szCs w:val="28"/>
              </w:rPr>
              <w:t>可</w:t>
            </w:r>
            <w:r w:rsidRPr="00C94014">
              <w:rPr>
                <w:rFonts w:eastAsia="標楷體" w:hint="eastAsia"/>
                <w:sz w:val="28"/>
                <w:szCs w:val="28"/>
              </w:rPr>
              <w:t>作為大學共同參與全民原教的成功模式</w:t>
            </w:r>
            <w:r w:rsidR="000C7660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A507A7" w:rsidRPr="00C94014" w:rsidRDefault="00A507A7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153987" w:rsidRPr="00153987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153987" w:rsidRPr="00153987" w:rsidRDefault="00153987" w:rsidP="00153987">
            <w:pPr>
              <w:widowControl/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 w:rsidRPr="00153987">
              <w:rPr>
                <w:rFonts w:eastAsia="標楷體"/>
                <w:b/>
                <w:sz w:val="28"/>
                <w:szCs w:val="28"/>
              </w:rPr>
              <w:t>獲獎專任人員：邱曉</w:t>
            </w:r>
            <w:proofErr w:type="gramStart"/>
            <w:r w:rsidRPr="00153987">
              <w:rPr>
                <w:rFonts w:eastAsia="標楷體"/>
                <w:b/>
                <w:sz w:val="28"/>
                <w:szCs w:val="28"/>
              </w:rPr>
              <w:t>梵</w:t>
            </w:r>
            <w:proofErr w:type="gramEnd"/>
            <w:r w:rsidRPr="00153987">
              <w:rPr>
                <w:rFonts w:eastAsia="標楷體"/>
                <w:b/>
                <w:sz w:val="28"/>
                <w:szCs w:val="28"/>
              </w:rPr>
              <w:t xml:space="preserve">                      </w:t>
            </w:r>
            <w:r w:rsidRPr="00153987">
              <w:rPr>
                <w:rFonts w:eastAsia="標楷體"/>
                <w:b/>
                <w:sz w:val="28"/>
                <w:szCs w:val="28"/>
              </w:rPr>
              <w:t>任職學校：嶺東科技大學</w:t>
            </w:r>
          </w:p>
        </w:tc>
      </w:tr>
      <w:tr w:rsidR="00153987" w:rsidRPr="00153987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153987" w:rsidRPr="00153987" w:rsidRDefault="00153987" w:rsidP="000C7660">
            <w:pPr>
              <w:widowControl/>
              <w:numPr>
                <w:ilvl w:val="0"/>
                <w:numId w:val="12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153987">
              <w:rPr>
                <w:rFonts w:eastAsia="標楷體" w:hint="eastAsia"/>
                <w:sz w:val="28"/>
                <w:szCs w:val="28"/>
              </w:rPr>
              <w:t>服務</w:t>
            </w:r>
            <w:r w:rsidRPr="00153987">
              <w:rPr>
                <w:rFonts w:eastAsia="標楷體"/>
                <w:sz w:val="28"/>
                <w:szCs w:val="28"/>
              </w:rPr>
              <w:t>年資</w:t>
            </w:r>
            <w:r w:rsidRPr="00153987">
              <w:rPr>
                <w:rFonts w:eastAsia="標楷體" w:hint="eastAsia"/>
                <w:sz w:val="28"/>
                <w:szCs w:val="28"/>
              </w:rPr>
              <w:t>已</w:t>
            </w:r>
            <w:r w:rsidRPr="00153987">
              <w:rPr>
                <w:rFonts w:eastAsia="標楷體"/>
                <w:sz w:val="28"/>
                <w:szCs w:val="28"/>
              </w:rPr>
              <w:t>滿</w:t>
            </w:r>
            <w:r w:rsidRPr="001539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987">
              <w:rPr>
                <w:rFonts w:eastAsia="標楷體"/>
                <w:sz w:val="28"/>
                <w:szCs w:val="28"/>
              </w:rPr>
              <w:t>7</w:t>
            </w:r>
            <w:r w:rsidRPr="001539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3987">
              <w:rPr>
                <w:rFonts w:eastAsia="標楷體"/>
                <w:sz w:val="28"/>
                <w:szCs w:val="28"/>
              </w:rPr>
              <w:t>年，</w:t>
            </w:r>
            <w:r w:rsidRPr="00153987">
              <w:rPr>
                <w:rFonts w:eastAsia="標楷體" w:hint="eastAsia"/>
                <w:sz w:val="28"/>
                <w:szCs w:val="28"/>
              </w:rPr>
              <w:t>除了提供溫暖的生活陪伴外，也定期舉辦原住民族知識課程與文化學習活動，同時推動與促進學校開設原住民族</w:t>
            </w:r>
            <w:proofErr w:type="gramStart"/>
            <w:r w:rsidRPr="00153987">
              <w:rPr>
                <w:rFonts w:eastAsia="標楷體" w:hint="eastAsia"/>
                <w:sz w:val="28"/>
                <w:szCs w:val="28"/>
              </w:rPr>
              <w:t>族</w:t>
            </w:r>
            <w:proofErr w:type="gramEnd"/>
            <w:r w:rsidRPr="00153987">
              <w:rPr>
                <w:rFonts w:eastAsia="標楷體" w:hint="eastAsia"/>
                <w:sz w:val="28"/>
                <w:szCs w:val="28"/>
              </w:rPr>
              <w:t>語課程，多面向的拓展全校教職員生在原住民族文化及多元文化</w:t>
            </w:r>
            <w:r w:rsidR="006F2E28">
              <w:rPr>
                <w:rFonts w:eastAsia="標楷體" w:hint="eastAsia"/>
                <w:sz w:val="28"/>
                <w:szCs w:val="28"/>
              </w:rPr>
              <w:t>上的</w:t>
            </w:r>
            <w:r w:rsidRPr="00153987">
              <w:rPr>
                <w:rFonts w:eastAsia="標楷體" w:hint="eastAsia"/>
                <w:sz w:val="28"/>
                <w:szCs w:val="28"/>
              </w:rPr>
              <w:t>涵養。</w:t>
            </w:r>
          </w:p>
          <w:p w:rsidR="00153987" w:rsidRPr="00153987" w:rsidRDefault="00153987" w:rsidP="000C7660">
            <w:pPr>
              <w:widowControl/>
              <w:numPr>
                <w:ilvl w:val="0"/>
                <w:numId w:val="12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153987">
              <w:rPr>
                <w:rFonts w:eastAsia="標楷體" w:hint="eastAsia"/>
                <w:sz w:val="28"/>
                <w:szCs w:val="28"/>
              </w:rPr>
              <w:t>另為促使原民</w:t>
            </w:r>
            <w:r w:rsidR="006F2E28">
              <w:rPr>
                <w:rFonts w:eastAsia="標楷體" w:hint="eastAsia"/>
                <w:sz w:val="28"/>
                <w:szCs w:val="28"/>
              </w:rPr>
              <w:t>生</w:t>
            </w:r>
            <w:r w:rsidRPr="00153987">
              <w:rPr>
                <w:rFonts w:eastAsia="標楷體" w:hint="eastAsia"/>
                <w:sz w:val="28"/>
                <w:szCs w:val="28"/>
              </w:rPr>
              <w:t>學習部落文化事務，結合鄰近與在地部落社群，共同規劃與辦理原住民族文化學習活動，讓族人、校內師生、校外非原民進行共學，達到在地知識共享，也可讓學生從部落達人處學習在地知識，將其資源導入並整合</w:t>
            </w:r>
            <w:r w:rsidR="00C8045E" w:rsidRPr="000D16A5">
              <w:rPr>
                <w:rFonts w:eastAsia="標楷體" w:hint="eastAsia"/>
                <w:sz w:val="28"/>
                <w:szCs w:val="28"/>
              </w:rPr>
              <w:t>，</w:t>
            </w:r>
            <w:r w:rsidR="00CB0FB7" w:rsidRPr="000D16A5">
              <w:rPr>
                <w:rFonts w:eastAsia="標楷體" w:hint="eastAsia"/>
                <w:sz w:val="28"/>
                <w:szCs w:val="28"/>
              </w:rPr>
              <w:t>以促進原民生之</w:t>
            </w:r>
            <w:r w:rsidR="00C8045E" w:rsidRPr="000D16A5">
              <w:rPr>
                <w:rFonts w:eastAsia="標楷體" w:hint="eastAsia"/>
                <w:sz w:val="28"/>
                <w:szCs w:val="28"/>
              </w:rPr>
              <w:t>個人</w:t>
            </w:r>
            <w:r w:rsidR="00C8045E" w:rsidRPr="00CB0FB7">
              <w:rPr>
                <w:rFonts w:eastAsia="標楷體" w:hint="eastAsia"/>
                <w:sz w:val="28"/>
                <w:szCs w:val="28"/>
              </w:rPr>
              <w:t>成長</w:t>
            </w:r>
            <w:r w:rsidRPr="00CB0FB7">
              <w:rPr>
                <w:rFonts w:eastAsia="標楷體" w:hint="eastAsia"/>
                <w:sz w:val="28"/>
                <w:szCs w:val="28"/>
              </w:rPr>
              <w:t>及</w:t>
            </w:r>
            <w:r w:rsidRPr="00153987">
              <w:rPr>
                <w:rFonts w:eastAsia="標楷體" w:hint="eastAsia"/>
                <w:sz w:val="28"/>
                <w:szCs w:val="28"/>
              </w:rPr>
              <w:t>職</w:t>
            </w:r>
            <w:proofErr w:type="gramStart"/>
            <w:r w:rsidRPr="00153987">
              <w:rPr>
                <w:rFonts w:eastAsia="標楷體" w:hint="eastAsia"/>
                <w:sz w:val="28"/>
                <w:szCs w:val="28"/>
              </w:rPr>
              <w:t>涯</w:t>
            </w:r>
            <w:proofErr w:type="gramEnd"/>
            <w:r w:rsidRPr="00153987">
              <w:rPr>
                <w:rFonts w:eastAsia="標楷體" w:hint="eastAsia"/>
                <w:sz w:val="28"/>
                <w:szCs w:val="28"/>
              </w:rPr>
              <w:t>探索。</w:t>
            </w:r>
          </w:p>
        </w:tc>
      </w:tr>
    </w:tbl>
    <w:p w:rsidR="00A507A7" w:rsidRDefault="00A507A7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153987" w:rsidRPr="00153987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153987" w:rsidRPr="00153987" w:rsidRDefault="00153987" w:rsidP="00153987">
            <w:pPr>
              <w:widowControl/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 w:rsidRPr="00153987">
              <w:rPr>
                <w:rFonts w:eastAsia="標楷體"/>
                <w:b/>
                <w:sz w:val="28"/>
                <w:szCs w:val="28"/>
              </w:rPr>
              <w:t>獲獎專任人員：徐于安</w:t>
            </w:r>
            <w:r w:rsidRPr="00153987">
              <w:rPr>
                <w:rFonts w:eastAsia="標楷體"/>
                <w:b/>
                <w:sz w:val="28"/>
                <w:szCs w:val="28"/>
              </w:rPr>
              <w:t xml:space="preserve">                      </w:t>
            </w:r>
            <w:r w:rsidRPr="00153987">
              <w:rPr>
                <w:rFonts w:eastAsia="標楷體"/>
                <w:b/>
                <w:sz w:val="28"/>
                <w:szCs w:val="28"/>
              </w:rPr>
              <w:t>任職學校：國立</w:t>
            </w:r>
            <w:proofErr w:type="gramStart"/>
            <w:r w:rsidRPr="00153987">
              <w:rPr>
                <w:rFonts w:eastAsia="標楷體"/>
                <w:b/>
                <w:sz w:val="28"/>
                <w:szCs w:val="28"/>
              </w:rPr>
              <w:t>臺</w:t>
            </w:r>
            <w:proofErr w:type="gramEnd"/>
            <w:r w:rsidRPr="00153987">
              <w:rPr>
                <w:rFonts w:eastAsia="標楷體"/>
                <w:b/>
                <w:sz w:val="28"/>
                <w:szCs w:val="28"/>
              </w:rPr>
              <w:t>北大學</w:t>
            </w:r>
          </w:p>
        </w:tc>
      </w:tr>
      <w:tr w:rsidR="00153987" w:rsidRPr="00153987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153987" w:rsidRPr="00153987" w:rsidRDefault="00153987" w:rsidP="000C7660">
            <w:pPr>
              <w:widowControl/>
              <w:numPr>
                <w:ilvl w:val="0"/>
                <w:numId w:val="13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153987">
              <w:rPr>
                <w:rFonts w:eastAsia="標楷體" w:hint="eastAsia"/>
                <w:sz w:val="28"/>
                <w:szCs w:val="28"/>
              </w:rPr>
              <w:t>在都會區大學工作，主動關心、及時支持</w:t>
            </w:r>
            <w:r w:rsidR="000D16A5">
              <w:rPr>
                <w:rFonts w:eastAsia="標楷體" w:hint="eastAsia"/>
                <w:sz w:val="28"/>
                <w:szCs w:val="28"/>
              </w:rPr>
              <w:t>，增加原民生的校園參與</w:t>
            </w:r>
            <w:bookmarkStart w:id="2" w:name="_GoBack"/>
            <w:bookmarkEnd w:id="2"/>
            <w:r w:rsidRPr="00153987">
              <w:rPr>
                <w:rFonts w:eastAsia="標楷體" w:hint="eastAsia"/>
                <w:sz w:val="28"/>
                <w:szCs w:val="28"/>
              </w:rPr>
              <w:t>，在各項任務的執行上，有效率且能提供多元的輔導服務，例如：</w:t>
            </w:r>
            <w:r w:rsidRPr="00153987">
              <w:rPr>
                <w:rFonts w:eastAsia="標楷體"/>
                <w:sz w:val="28"/>
                <w:szCs w:val="28"/>
              </w:rPr>
              <w:t>新生包</w:t>
            </w:r>
            <w:r w:rsidRPr="00153987">
              <w:rPr>
                <w:rFonts w:eastAsia="標楷體" w:hint="eastAsia"/>
                <w:sz w:val="28"/>
                <w:szCs w:val="28"/>
              </w:rPr>
              <w:t>；在一般常態性工作，也都能充分掌握且具體落實，例如：</w:t>
            </w:r>
            <w:r w:rsidRPr="00153987">
              <w:rPr>
                <w:rFonts w:eastAsia="標楷體"/>
                <w:sz w:val="28"/>
                <w:szCs w:val="28"/>
              </w:rPr>
              <w:t>期中預警、休退學</w:t>
            </w:r>
            <w:r w:rsidRPr="00153987">
              <w:rPr>
                <w:rFonts w:eastAsia="標楷體" w:hint="eastAsia"/>
                <w:sz w:val="28"/>
                <w:szCs w:val="28"/>
              </w:rPr>
              <w:t>輔導</w:t>
            </w:r>
            <w:r w:rsidRPr="00153987">
              <w:rPr>
                <w:rFonts w:eastAsia="標楷體"/>
                <w:sz w:val="28"/>
                <w:szCs w:val="28"/>
              </w:rPr>
              <w:t>、</w:t>
            </w:r>
            <w:r w:rsidR="006F2E28" w:rsidRPr="00153987">
              <w:rPr>
                <w:rFonts w:eastAsia="標楷體"/>
                <w:sz w:val="28"/>
                <w:szCs w:val="28"/>
              </w:rPr>
              <w:t>定期召開</w:t>
            </w:r>
            <w:r w:rsidRPr="00153987">
              <w:rPr>
                <w:rFonts w:eastAsia="標楷體"/>
                <w:sz w:val="28"/>
                <w:szCs w:val="28"/>
              </w:rPr>
              <w:t>諮詢會議、畢業生流向</w:t>
            </w:r>
            <w:r w:rsidRPr="00153987">
              <w:rPr>
                <w:rFonts w:eastAsia="標楷體" w:hint="eastAsia"/>
                <w:sz w:val="28"/>
                <w:szCs w:val="28"/>
              </w:rPr>
              <w:t>追蹤</w:t>
            </w:r>
            <w:r w:rsidRPr="00153987">
              <w:rPr>
                <w:rFonts w:eastAsia="標楷體"/>
                <w:sz w:val="28"/>
                <w:szCs w:val="28"/>
              </w:rPr>
              <w:t>、升學動向</w:t>
            </w:r>
            <w:r w:rsidRPr="00153987">
              <w:rPr>
                <w:rFonts w:eastAsia="標楷體" w:hint="eastAsia"/>
                <w:sz w:val="28"/>
                <w:szCs w:val="28"/>
              </w:rPr>
              <w:t>輔導</w:t>
            </w:r>
            <w:r w:rsidRPr="00153987">
              <w:rPr>
                <w:rFonts w:eastAsia="標楷體"/>
                <w:sz w:val="28"/>
                <w:szCs w:val="28"/>
              </w:rPr>
              <w:t>、職涯發展</w:t>
            </w:r>
            <w:r w:rsidRPr="00153987">
              <w:rPr>
                <w:rFonts w:eastAsia="標楷體" w:hint="eastAsia"/>
                <w:sz w:val="28"/>
                <w:szCs w:val="28"/>
              </w:rPr>
              <w:t>規劃等。</w:t>
            </w:r>
          </w:p>
          <w:p w:rsidR="00153987" w:rsidRPr="00153987" w:rsidRDefault="00153987" w:rsidP="000C7660">
            <w:pPr>
              <w:widowControl/>
              <w:numPr>
                <w:ilvl w:val="0"/>
                <w:numId w:val="13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153987">
              <w:rPr>
                <w:rFonts w:eastAsia="標楷體"/>
                <w:sz w:val="28"/>
                <w:szCs w:val="28"/>
              </w:rPr>
              <w:t>從一般行政的資深公務員，轉而接受挑戰，投入多元族群服務領域，且能與原民生打成一片，</w:t>
            </w:r>
            <w:r w:rsidRPr="00153987">
              <w:rPr>
                <w:rFonts w:eastAsia="標楷體" w:hint="eastAsia"/>
                <w:sz w:val="28"/>
                <w:szCs w:val="28"/>
              </w:rPr>
              <w:t>建立正式與非正式關係，進一步瞭解其生活與課業之需求，增加溝通機會並建立陪伴機制，值得鼓勵。</w:t>
            </w:r>
          </w:p>
          <w:p w:rsidR="00153987" w:rsidRPr="00153987" w:rsidRDefault="00153987" w:rsidP="000C7660">
            <w:pPr>
              <w:widowControl/>
              <w:numPr>
                <w:ilvl w:val="0"/>
                <w:numId w:val="13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153987">
              <w:rPr>
                <w:rFonts w:eastAsia="標楷體" w:hint="eastAsia"/>
                <w:sz w:val="28"/>
                <w:szCs w:val="28"/>
              </w:rPr>
              <w:t>充分運用其過往豐富的</w:t>
            </w:r>
            <w:r w:rsidRPr="00153987">
              <w:rPr>
                <w:rFonts w:eastAsia="標楷體"/>
                <w:sz w:val="28"/>
                <w:szCs w:val="28"/>
              </w:rPr>
              <w:t>行政經驗，</w:t>
            </w:r>
            <w:r w:rsidRPr="00153987">
              <w:rPr>
                <w:rFonts w:eastAsia="標楷體" w:hint="eastAsia"/>
                <w:sz w:val="28"/>
                <w:szCs w:val="28"/>
              </w:rPr>
              <w:t>專業且</w:t>
            </w:r>
            <w:r w:rsidRPr="00153987">
              <w:rPr>
                <w:rFonts w:eastAsia="標楷體"/>
                <w:sz w:val="28"/>
                <w:szCs w:val="28"/>
              </w:rPr>
              <w:t>系統性地協助學校</w:t>
            </w:r>
            <w:r w:rsidRPr="00153987">
              <w:rPr>
                <w:rFonts w:eastAsia="標楷體" w:hint="eastAsia"/>
                <w:sz w:val="28"/>
                <w:szCs w:val="28"/>
              </w:rPr>
              <w:t>成功</w:t>
            </w:r>
            <w:r w:rsidRPr="00153987">
              <w:rPr>
                <w:rFonts w:eastAsia="標楷體"/>
                <w:sz w:val="28"/>
                <w:szCs w:val="28"/>
              </w:rPr>
              <w:t>建置一站式原民生輔導機制</w:t>
            </w:r>
            <w:r w:rsidRPr="0015398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153987" w:rsidRPr="00153987" w:rsidRDefault="00153987"/>
    <w:p w:rsidR="00153987" w:rsidRDefault="00153987"/>
    <w:p w:rsidR="00153987" w:rsidRDefault="00153987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C7660" w:rsidRPr="000C7660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0C7660" w:rsidRPr="000C7660" w:rsidRDefault="000C7660" w:rsidP="000C7660">
            <w:pPr>
              <w:widowControl/>
              <w:spacing w:line="48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0C766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獲獎專任人員：陳孟妤                         任職學校：東吳大學</w:t>
            </w:r>
          </w:p>
        </w:tc>
      </w:tr>
      <w:tr w:rsidR="000C7660" w:rsidRPr="000C7660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0C7660" w:rsidRPr="000C7660" w:rsidRDefault="000C7660" w:rsidP="000C7660">
            <w:pPr>
              <w:widowControl/>
              <w:numPr>
                <w:ilvl w:val="0"/>
                <w:numId w:val="14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0C7660">
              <w:rPr>
                <w:rFonts w:eastAsia="標楷體" w:hint="eastAsia"/>
                <w:sz w:val="28"/>
                <w:szCs w:val="28"/>
              </w:rPr>
              <w:t>為賽德克族原住民，擔任本項工作資歷已有</w:t>
            </w:r>
            <w:r w:rsidRPr="000C76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660">
              <w:rPr>
                <w:rFonts w:eastAsia="標楷體"/>
                <w:sz w:val="28"/>
                <w:szCs w:val="28"/>
              </w:rPr>
              <w:t>2</w:t>
            </w:r>
            <w:r w:rsidRPr="000C76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660">
              <w:rPr>
                <w:rFonts w:eastAsia="標楷體" w:hint="eastAsia"/>
                <w:sz w:val="28"/>
                <w:szCs w:val="28"/>
              </w:rPr>
              <w:t>年多</w:t>
            </w:r>
            <w:r w:rsidR="00C8045E">
              <w:rPr>
                <w:rFonts w:eastAsia="標楷體" w:hint="eastAsia"/>
                <w:sz w:val="28"/>
                <w:szCs w:val="28"/>
              </w:rPr>
              <w:t>，</w:t>
            </w:r>
            <w:r w:rsidRPr="000C7660">
              <w:rPr>
                <w:rFonts w:eastAsia="標楷體" w:hint="eastAsia"/>
                <w:sz w:val="28"/>
                <w:szCs w:val="28"/>
              </w:rPr>
              <w:t>能</w:t>
            </w:r>
            <w:r w:rsidRPr="000C7660">
              <w:rPr>
                <w:rFonts w:eastAsia="標楷體"/>
                <w:sz w:val="28"/>
                <w:szCs w:val="28"/>
              </w:rPr>
              <w:t>結合</w:t>
            </w:r>
            <w:r w:rsidRPr="000C76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660">
              <w:rPr>
                <w:rFonts w:eastAsia="標楷體"/>
                <w:sz w:val="28"/>
                <w:szCs w:val="28"/>
              </w:rPr>
              <w:t>SDGs</w:t>
            </w:r>
            <w:r w:rsidRPr="000C76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C7660">
              <w:rPr>
                <w:rFonts w:eastAsia="標楷體"/>
                <w:sz w:val="28"/>
                <w:szCs w:val="28"/>
              </w:rPr>
              <w:t>指標</w:t>
            </w:r>
            <w:r w:rsidRPr="000C7660">
              <w:rPr>
                <w:rFonts w:eastAsia="標楷體" w:hint="eastAsia"/>
                <w:sz w:val="28"/>
                <w:szCs w:val="28"/>
              </w:rPr>
              <w:t>進行</w:t>
            </w:r>
            <w:r w:rsidR="00C8045E">
              <w:rPr>
                <w:rFonts w:eastAsia="標楷體" w:hint="eastAsia"/>
                <w:sz w:val="28"/>
                <w:szCs w:val="28"/>
              </w:rPr>
              <w:t>任務</w:t>
            </w:r>
            <w:r w:rsidRPr="000C7660">
              <w:rPr>
                <w:rFonts w:eastAsia="標楷體" w:hint="eastAsia"/>
                <w:sz w:val="28"/>
                <w:szCs w:val="28"/>
              </w:rPr>
              <w:t>規劃，將永續議題運用</w:t>
            </w:r>
            <w:proofErr w:type="gramStart"/>
            <w:r w:rsidRPr="000C7660">
              <w:rPr>
                <w:rFonts w:eastAsia="標楷體" w:hint="eastAsia"/>
                <w:sz w:val="28"/>
                <w:szCs w:val="28"/>
              </w:rPr>
              <w:t>於原資</w:t>
            </w:r>
            <w:r w:rsidRPr="00CB0FB7">
              <w:rPr>
                <w:rFonts w:eastAsia="標楷體" w:hint="eastAsia"/>
                <w:sz w:val="28"/>
                <w:szCs w:val="28"/>
              </w:rPr>
              <w:t>中心</w:t>
            </w:r>
            <w:proofErr w:type="gramEnd"/>
            <w:r w:rsidRPr="00CB0FB7">
              <w:rPr>
                <w:rFonts w:eastAsia="標楷體" w:hint="eastAsia"/>
                <w:sz w:val="28"/>
                <w:szCs w:val="28"/>
              </w:rPr>
              <w:t>的</w:t>
            </w:r>
            <w:r w:rsidR="00C8045E" w:rsidRPr="00CB0FB7">
              <w:rPr>
                <w:rFonts w:eastAsia="標楷體" w:hint="eastAsia"/>
                <w:sz w:val="28"/>
                <w:szCs w:val="28"/>
              </w:rPr>
              <w:t>活動規劃及經營</w:t>
            </w:r>
            <w:r w:rsidRPr="000C7660">
              <w:rPr>
                <w:rFonts w:eastAsia="標楷體" w:hint="eastAsia"/>
                <w:sz w:val="28"/>
                <w:szCs w:val="28"/>
              </w:rPr>
              <w:t>中，創造更大的共享價值。</w:t>
            </w:r>
          </w:p>
          <w:p w:rsidR="000C7660" w:rsidRPr="000C7660" w:rsidRDefault="000C7660" w:rsidP="000C7660">
            <w:pPr>
              <w:widowControl/>
              <w:numPr>
                <w:ilvl w:val="0"/>
                <w:numId w:val="14"/>
              </w:numPr>
              <w:spacing w:line="400" w:lineRule="exact"/>
              <w:ind w:left="604" w:hanging="622"/>
              <w:jc w:val="both"/>
              <w:rPr>
                <w:rFonts w:ascii="標楷體" w:eastAsia="標楷體" w:hAnsi="標楷體" w:cs="Arial"/>
              </w:rPr>
            </w:pPr>
            <w:r w:rsidRPr="000C7660">
              <w:rPr>
                <w:rFonts w:eastAsia="標楷體" w:hint="eastAsia"/>
                <w:sz w:val="28"/>
                <w:szCs w:val="28"/>
              </w:rPr>
              <w:t>透過團隊</w:t>
            </w:r>
            <w:r w:rsidR="00C8045E">
              <w:rPr>
                <w:rFonts w:eastAsia="標楷體" w:hint="eastAsia"/>
                <w:sz w:val="28"/>
                <w:szCs w:val="28"/>
              </w:rPr>
              <w:t>的</w:t>
            </w:r>
            <w:r w:rsidRPr="000C7660">
              <w:rPr>
                <w:rFonts w:eastAsia="標楷體" w:hint="eastAsia"/>
                <w:sz w:val="28"/>
                <w:szCs w:val="28"/>
              </w:rPr>
              <w:t>分工及合作，</w:t>
            </w:r>
            <w:r w:rsidR="00C8045E">
              <w:rPr>
                <w:rFonts w:eastAsia="標楷體" w:hint="eastAsia"/>
                <w:sz w:val="28"/>
                <w:szCs w:val="28"/>
              </w:rPr>
              <w:t>並</w:t>
            </w:r>
            <w:r w:rsidRPr="000C7660">
              <w:rPr>
                <w:rFonts w:eastAsia="標楷體" w:hint="eastAsia"/>
                <w:sz w:val="28"/>
                <w:szCs w:val="28"/>
              </w:rPr>
              <w:t>結合學生的共同參與，</w:t>
            </w:r>
            <w:proofErr w:type="gramStart"/>
            <w:r w:rsidRPr="000C7660">
              <w:rPr>
                <w:rFonts w:eastAsia="標楷體" w:hint="eastAsia"/>
                <w:sz w:val="28"/>
                <w:szCs w:val="28"/>
              </w:rPr>
              <w:t>讓原資中心</w:t>
            </w:r>
            <w:proofErr w:type="gramEnd"/>
            <w:r w:rsidRPr="000C7660">
              <w:rPr>
                <w:rFonts w:eastAsia="標楷體" w:hint="eastAsia"/>
                <w:sz w:val="28"/>
                <w:szCs w:val="28"/>
              </w:rPr>
              <w:t>的效益最大化，同時也讓同學們更具體、深入討論永續議題，將永續議題融入校園生活與學習活動中。</w:t>
            </w:r>
          </w:p>
        </w:tc>
      </w:tr>
    </w:tbl>
    <w:p w:rsidR="000C7660" w:rsidRDefault="000C7660"/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C7660" w:rsidRPr="000C7660" w:rsidTr="006A571E">
        <w:trPr>
          <w:trHeight w:val="284"/>
          <w:tblHeader/>
        </w:trPr>
        <w:tc>
          <w:tcPr>
            <w:tcW w:w="952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0C7660" w:rsidRPr="000C7660" w:rsidRDefault="000C7660" w:rsidP="000C7660">
            <w:pPr>
              <w:widowControl/>
              <w:spacing w:line="480" w:lineRule="exact"/>
              <w:rPr>
                <w:rFonts w:eastAsia="標楷體"/>
                <w:b/>
                <w:sz w:val="28"/>
                <w:szCs w:val="28"/>
              </w:rPr>
            </w:pPr>
            <w:r w:rsidRPr="000C7660">
              <w:rPr>
                <w:rFonts w:eastAsia="標楷體"/>
                <w:b/>
                <w:sz w:val="28"/>
                <w:szCs w:val="28"/>
              </w:rPr>
              <w:t>獲獎專任人員：蘇鈺婷</w:t>
            </w:r>
            <w:r w:rsidRPr="000C7660">
              <w:rPr>
                <w:rFonts w:eastAsia="標楷體"/>
                <w:b/>
                <w:sz w:val="28"/>
                <w:szCs w:val="28"/>
              </w:rPr>
              <w:t xml:space="preserve">               </w:t>
            </w:r>
            <w:r w:rsidRPr="000C7660">
              <w:rPr>
                <w:rFonts w:eastAsia="標楷體"/>
                <w:b/>
                <w:sz w:val="28"/>
                <w:szCs w:val="28"/>
              </w:rPr>
              <w:t>任職學校：國立</w:t>
            </w:r>
            <w:proofErr w:type="gramStart"/>
            <w:r w:rsidRPr="000C7660">
              <w:rPr>
                <w:rFonts w:eastAsia="標楷體"/>
                <w:b/>
                <w:sz w:val="28"/>
                <w:szCs w:val="28"/>
              </w:rPr>
              <w:t>臺</w:t>
            </w:r>
            <w:proofErr w:type="gramEnd"/>
            <w:r w:rsidRPr="000C7660">
              <w:rPr>
                <w:rFonts w:eastAsia="標楷體"/>
                <w:b/>
                <w:sz w:val="28"/>
                <w:szCs w:val="28"/>
              </w:rPr>
              <w:t>南護理專科學校</w:t>
            </w:r>
          </w:p>
        </w:tc>
      </w:tr>
      <w:tr w:rsidR="000C7660" w:rsidRPr="000C7660" w:rsidTr="006A571E">
        <w:trPr>
          <w:trHeight w:val="1016"/>
        </w:trPr>
        <w:tc>
          <w:tcPr>
            <w:tcW w:w="9526" w:type="dxa"/>
            <w:shd w:val="clear" w:color="auto" w:fill="auto"/>
          </w:tcPr>
          <w:p w:rsidR="000C7660" w:rsidRPr="000C7660" w:rsidRDefault="000C7660" w:rsidP="000C7660">
            <w:pPr>
              <w:widowControl/>
              <w:numPr>
                <w:ilvl w:val="0"/>
                <w:numId w:val="15"/>
              </w:numPr>
              <w:spacing w:line="400" w:lineRule="exact"/>
              <w:ind w:left="604" w:hanging="622"/>
              <w:jc w:val="both"/>
              <w:rPr>
                <w:rFonts w:eastAsia="標楷體"/>
                <w:sz w:val="28"/>
                <w:szCs w:val="28"/>
              </w:rPr>
            </w:pPr>
            <w:r w:rsidRPr="000C7660">
              <w:rPr>
                <w:rFonts w:eastAsia="標楷體" w:hint="eastAsia"/>
                <w:sz w:val="28"/>
                <w:szCs w:val="28"/>
              </w:rPr>
              <w:t>雖不具</w:t>
            </w:r>
            <w:r w:rsidRPr="000C7660">
              <w:rPr>
                <w:rFonts w:eastAsia="標楷體"/>
                <w:sz w:val="28"/>
                <w:szCs w:val="28"/>
              </w:rPr>
              <w:t>原</w:t>
            </w:r>
            <w:r w:rsidRPr="000C7660">
              <w:rPr>
                <w:rFonts w:eastAsia="標楷體" w:hint="eastAsia"/>
                <w:sz w:val="28"/>
                <w:szCs w:val="28"/>
              </w:rPr>
              <w:t>住</w:t>
            </w:r>
            <w:r w:rsidRPr="000C7660">
              <w:rPr>
                <w:rFonts w:eastAsia="標楷體"/>
                <w:sz w:val="28"/>
                <w:szCs w:val="28"/>
              </w:rPr>
              <w:t>民</w:t>
            </w:r>
            <w:r w:rsidRPr="000C7660">
              <w:rPr>
                <w:rFonts w:eastAsia="標楷體" w:hint="eastAsia"/>
                <w:sz w:val="28"/>
                <w:szCs w:val="28"/>
              </w:rPr>
              <w:t>身分，</w:t>
            </w:r>
            <w:r w:rsidR="00C8045E">
              <w:rPr>
                <w:rFonts w:eastAsia="標楷體" w:hint="eastAsia"/>
                <w:sz w:val="28"/>
                <w:szCs w:val="28"/>
              </w:rPr>
              <w:t>但</w:t>
            </w:r>
            <w:r w:rsidRPr="000C7660">
              <w:rPr>
                <w:rFonts w:eastAsia="標楷體" w:hint="eastAsia"/>
                <w:sz w:val="28"/>
                <w:szCs w:val="28"/>
              </w:rPr>
              <w:t>在其任務執行上，卻能充分掌握且瞭解校內原民生的實際需求，同時積極充實自我專業知能</w:t>
            </w:r>
            <w:r w:rsidRPr="000C7660">
              <w:rPr>
                <w:rFonts w:eastAsia="標楷體"/>
                <w:sz w:val="28"/>
                <w:szCs w:val="28"/>
              </w:rPr>
              <w:t>，</w:t>
            </w:r>
            <w:r w:rsidRPr="000C7660">
              <w:rPr>
                <w:rFonts w:eastAsia="標楷體" w:hint="eastAsia"/>
                <w:sz w:val="28"/>
                <w:szCs w:val="28"/>
              </w:rPr>
              <w:t>規劃原住民族知識與文化學習活動，</w:t>
            </w:r>
            <w:r w:rsidR="00C8045E">
              <w:rPr>
                <w:rFonts w:eastAsia="標楷體" w:hint="eastAsia"/>
                <w:sz w:val="28"/>
                <w:szCs w:val="28"/>
              </w:rPr>
              <w:t>鼓勵</w:t>
            </w:r>
            <w:r w:rsidRPr="000C7660">
              <w:rPr>
                <w:rFonts w:eastAsia="標楷體"/>
                <w:sz w:val="28"/>
                <w:szCs w:val="28"/>
              </w:rPr>
              <w:t>原民生</w:t>
            </w:r>
            <w:r w:rsidRPr="000C7660">
              <w:rPr>
                <w:rFonts w:eastAsia="標楷體" w:hint="eastAsia"/>
                <w:sz w:val="28"/>
                <w:szCs w:val="28"/>
              </w:rPr>
              <w:t>共同參與並</w:t>
            </w:r>
            <w:r w:rsidRPr="000C7660">
              <w:rPr>
                <w:rFonts w:eastAsia="標楷體"/>
                <w:sz w:val="28"/>
                <w:szCs w:val="28"/>
              </w:rPr>
              <w:t>學習</w:t>
            </w:r>
            <w:r w:rsidRPr="000C7660">
              <w:rPr>
                <w:rFonts w:eastAsia="標楷體" w:hint="eastAsia"/>
                <w:sz w:val="28"/>
                <w:szCs w:val="28"/>
              </w:rPr>
              <w:t>，</w:t>
            </w:r>
            <w:proofErr w:type="gramStart"/>
            <w:r w:rsidRPr="000C7660">
              <w:rPr>
                <w:rFonts w:eastAsia="標楷體" w:hint="eastAsia"/>
                <w:sz w:val="28"/>
                <w:szCs w:val="28"/>
              </w:rPr>
              <w:t>將原資中心</w:t>
            </w:r>
            <w:proofErr w:type="gramEnd"/>
            <w:r w:rsidRPr="000C7660">
              <w:rPr>
                <w:rFonts w:eastAsia="標楷體" w:hint="eastAsia"/>
                <w:sz w:val="28"/>
                <w:szCs w:val="28"/>
              </w:rPr>
              <w:t>視如第二個家般地付出、守護，</w:t>
            </w:r>
            <w:proofErr w:type="gramStart"/>
            <w:r w:rsidRPr="000C7660">
              <w:rPr>
                <w:rFonts w:eastAsia="標楷體" w:hint="eastAsia"/>
                <w:sz w:val="28"/>
                <w:szCs w:val="28"/>
              </w:rPr>
              <w:t>堪認是原</w:t>
            </w:r>
            <w:proofErr w:type="gramEnd"/>
            <w:r w:rsidRPr="000C7660">
              <w:rPr>
                <w:rFonts w:eastAsia="標楷體" w:hint="eastAsia"/>
                <w:sz w:val="28"/>
                <w:szCs w:val="28"/>
              </w:rPr>
              <w:t>資中心同仁</w:t>
            </w:r>
            <w:r w:rsidRPr="000C7660">
              <w:rPr>
                <w:rFonts w:eastAsia="標楷體"/>
                <w:sz w:val="28"/>
                <w:szCs w:val="28"/>
              </w:rPr>
              <w:t>的</w:t>
            </w:r>
            <w:r w:rsidRPr="000C7660">
              <w:rPr>
                <w:rFonts w:eastAsia="標楷體" w:hint="eastAsia"/>
                <w:sz w:val="28"/>
                <w:szCs w:val="28"/>
              </w:rPr>
              <w:t>典範</w:t>
            </w:r>
            <w:r w:rsidRPr="000C7660">
              <w:rPr>
                <w:rFonts w:eastAsia="標楷體"/>
                <w:sz w:val="28"/>
                <w:szCs w:val="28"/>
              </w:rPr>
              <w:t>。</w:t>
            </w:r>
          </w:p>
          <w:p w:rsidR="000C7660" w:rsidRPr="000C7660" w:rsidRDefault="000C7660" w:rsidP="000C7660">
            <w:pPr>
              <w:widowControl/>
              <w:numPr>
                <w:ilvl w:val="0"/>
                <w:numId w:val="15"/>
              </w:numPr>
              <w:spacing w:line="400" w:lineRule="exact"/>
              <w:ind w:left="604" w:hanging="622"/>
              <w:jc w:val="both"/>
              <w:rPr>
                <w:rFonts w:eastAsia="標楷體"/>
              </w:rPr>
            </w:pPr>
            <w:r w:rsidRPr="000C7660">
              <w:rPr>
                <w:rFonts w:eastAsia="標楷體"/>
                <w:sz w:val="28"/>
                <w:szCs w:val="28"/>
              </w:rPr>
              <w:t>能</w:t>
            </w:r>
            <w:proofErr w:type="gramStart"/>
            <w:r w:rsidR="00C8045E">
              <w:rPr>
                <w:rFonts w:eastAsia="標楷體" w:hint="eastAsia"/>
                <w:sz w:val="28"/>
                <w:szCs w:val="28"/>
              </w:rPr>
              <w:t>發揮</w:t>
            </w:r>
            <w:r w:rsidRPr="000C7660">
              <w:rPr>
                <w:rFonts w:eastAsia="標楷體"/>
                <w:sz w:val="28"/>
                <w:szCs w:val="28"/>
              </w:rPr>
              <w:t>原資中心</w:t>
            </w:r>
            <w:proofErr w:type="gramEnd"/>
            <w:r w:rsidRPr="000C7660">
              <w:rPr>
                <w:rFonts w:eastAsia="標楷體"/>
                <w:sz w:val="28"/>
                <w:szCs w:val="28"/>
              </w:rPr>
              <w:t>工作人員</w:t>
            </w:r>
            <w:r w:rsidRPr="000C7660">
              <w:rPr>
                <w:rFonts w:eastAsia="標楷體" w:hint="eastAsia"/>
                <w:sz w:val="28"/>
                <w:szCs w:val="28"/>
              </w:rPr>
              <w:t>之</w:t>
            </w:r>
            <w:r w:rsidRPr="000C7660">
              <w:rPr>
                <w:rFonts w:eastAsia="標楷體"/>
                <w:sz w:val="28"/>
                <w:szCs w:val="28"/>
              </w:rPr>
              <w:t>陪伴角色，以原民生的言</w:t>
            </w:r>
            <w:r w:rsidRPr="000C7660">
              <w:rPr>
                <w:rFonts w:eastAsia="標楷體" w:hint="eastAsia"/>
                <w:sz w:val="28"/>
                <w:szCs w:val="28"/>
              </w:rPr>
              <w:t>語方式</w:t>
            </w:r>
            <w:r w:rsidRPr="000C7660">
              <w:rPr>
                <w:rFonts w:eastAsia="標楷體"/>
                <w:sz w:val="28"/>
                <w:szCs w:val="28"/>
              </w:rPr>
              <w:t>理解其處境，尤其能跳出</w:t>
            </w:r>
            <w:r w:rsidRPr="000C7660">
              <w:rPr>
                <w:rFonts w:eastAsia="標楷體" w:hint="eastAsia"/>
                <w:sz w:val="28"/>
                <w:szCs w:val="28"/>
              </w:rPr>
              <w:t>主流文化</w:t>
            </w:r>
            <w:proofErr w:type="gramStart"/>
            <w:r w:rsidRPr="000C7660">
              <w:rPr>
                <w:rFonts w:eastAsia="標楷體" w:hint="eastAsia"/>
                <w:sz w:val="28"/>
                <w:szCs w:val="28"/>
              </w:rPr>
              <w:t>社</w:t>
            </w:r>
            <w:r w:rsidRPr="000C7660">
              <w:rPr>
                <w:rFonts w:eastAsia="標楷體"/>
                <w:sz w:val="28"/>
                <w:szCs w:val="28"/>
              </w:rPr>
              <w:t>群</w:t>
            </w:r>
            <w:r w:rsidRPr="000C7660">
              <w:rPr>
                <w:rFonts w:eastAsia="標楷體" w:hint="eastAsia"/>
                <w:sz w:val="28"/>
                <w:szCs w:val="28"/>
              </w:rPr>
              <w:t>常有</w:t>
            </w:r>
            <w:proofErr w:type="gramEnd"/>
            <w:r w:rsidRPr="000C7660">
              <w:rPr>
                <w:rFonts w:eastAsia="標楷體" w:hint="eastAsia"/>
                <w:sz w:val="28"/>
                <w:szCs w:val="28"/>
              </w:rPr>
              <w:t>的</w:t>
            </w:r>
            <w:r w:rsidRPr="000C7660">
              <w:rPr>
                <w:rFonts w:eastAsia="標楷體"/>
                <w:sz w:val="28"/>
                <w:szCs w:val="28"/>
              </w:rPr>
              <w:t>刻</w:t>
            </w:r>
            <w:r w:rsidR="00C8045E">
              <w:rPr>
                <w:rFonts w:eastAsia="標楷體" w:hint="eastAsia"/>
                <w:sz w:val="28"/>
                <w:szCs w:val="28"/>
              </w:rPr>
              <w:t>板</w:t>
            </w:r>
            <w:r w:rsidRPr="000C7660">
              <w:rPr>
                <w:rFonts w:eastAsia="標楷體"/>
                <w:sz w:val="28"/>
                <w:szCs w:val="28"/>
              </w:rPr>
              <w:t>印象，</w:t>
            </w:r>
            <w:r w:rsidR="00C8045E">
              <w:rPr>
                <w:rFonts w:eastAsia="標楷體" w:hint="eastAsia"/>
                <w:sz w:val="28"/>
                <w:szCs w:val="28"/>
              </w:rPr>
              <w:t>且</w:t>
            </w:r>
            <w:r w:rsidRPr="000C7660">
              <w:rPr>
                <w:rFonts w:eastAsia="標楷體"/>
                <w:sz w:val="28"/>
                <w:szCs w:val="28"/>
              </w:rPr>
              <w:t>能同理原民</w:t>
            </w:r>
            <w:r w:rsidRPr="000C7660">
              <w:rPr>
                <w:rFonts w:eastAsia="標楷體" w:hint="eastAsia"/>
                <w:sz w:val="28"/>
                <w:szCs w:val="28"/>
              </w:rPr>
              <w:t>生</w:t>
            </w:r>
            <w:r w:rsidRPr="000C7660">
              <w:rPr>
                <w:rFonts w:eastAsia="標楷體"/>
                <w:sz w:val="28"/>
                <w:szCs w:val="28"/>
              </w:rPr>
              <w:t>在</w:t>
            </w:r>
            <w:r w:rsidRPr="000C7660">
              <w:rPr>
                <w:rFonts w:eastAsia="標楷體" w:hint="eastAsia"/>
                <w:sz w:val="28"/>
                <w:szCs w:val="28"/>
              </w:rPr>
              <w:t>校園環境</w:t>
            </w:r>
            <w:r w:rsidRPr="000C7660">
              <w:rPr>
                <w:rFonts w:eastAsia="標楷體"/>
                <w:sz w:val="28"/>
                <w:szCs w:val="28"/>
              </w:rPr>
              <w:t>中的</w:t>
            </w:r>
            <w:r w:rsidR="00C8045E">
              <w:rPr>
                <w:rFonts w:eastAsia="標楷體" w:hint="eastAsia"/>
                <w:sz w:val="28"/>
                <w:szCs w:val="28"/>
              </w:rPr>
              <w:t>感受</w:t>
            </w:r>
            <w:r w:rsidRPr="000C7660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0C7660" w:rsidRPr="000C7660" w:rsidRDefault="000C7660"/>
    <w:sectPr w:rsidR="000C7660" w:rsidRPr="000C7660" w:rsidSect="00A507A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94" w:rsidRDefault="00A71694" w:rsidP="00A26B90">
      <w:r>
        <w:separator/>
      </w:r>
    </w:p>
  </w:endnote>
  <w:endnote w:type="continuationSeparator" w:id="0">
    <w:p w:rsidR="00A71694" w:rsidRDefault="00A71694" w:rsidP="00A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30708"/>
      <w:docPartObj>
        <w:docPartGallery w:val="Page Numbers (Bottom of Page)"/>
        <w:docPartUnique/>
      </w:docPartObj>
    </w:sdtPr>
    <w:sdtEndPr/>
    <w:sdtContent>
      <w:p w:rsidR="00160621" w:rsidRDefault="00160621" w:rsidP="001606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94" w:rsidRDefault="00A71694" w:rsidP="00A26B90">
      <w:r>
        <w:separator/>
      </w:r>
    </w:p>
  </w:footnote>
  <w:footnote w:type="continuationSeparator" w:id="0">
    <w:p w:rsidR="00A71694" w:rsidRDefault="00A71694" w:rsidP="00A2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75"/>
    <w:multiLevelType w:val="hybridMultilevel"/>
    <w:tmpl w:val="DAD6DA32"/>
    <w:lvl w:ilvl="0" w:tplc="51B4FC1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D08D8"/>
    <w:multiLevelType w:val="hybridMultilevel"/>
    <w:tmpl w:val="A32089D2"/>
    <w:lvl w:ilvl="0" w:tplc="252C9654">
      <w:start w:val="1"/>
      <w:numFmt w:val="decimal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" w15:restartNumberingAfterBreak="0">
    <w:nsid w:val="0C041964"/>
    <w:multiLevelType w:val="hybridMultilevel"/>
    <w:tmpl w:val="BD061F26"/>
    <w:lvl w:ilvl="0" w:tplc="0EC021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27748"/>
    <w:multiLevelType w:val="hybridMultilevel"/>
    <w:tmpl w:val="BF246EE6"/>
    <w:lvl w:ilvl="0" w:tplc="29D409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E648B4"/>
    <w:multiLevelType w:val="hybridMultilevel"/>
    <w:tmpl w:val="DAD6DA32"/>
    <w:lvl w:ilvl="0" w:tplc="51B4FC1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E3F0C"/>
    <w:multiLevelType w:val="hybridMultilevel"/>
    <w:tmpl w:val="69AC67F8"/>
    <w:lvl w:ilvl="0" w:tplc="F32EEF76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53D85"/>
    <w:multiLevelType w:val="hybridMultilevel"/>
    <w:tmpl w:val="DAD6DA32"/>
    <w:lvl w:ilvl="0" w:tplc="51B4FC1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A4798"/>
    <w:multiLevelType w:val="hybridMultilevel"/>
    <w:tmpl w:val="DAB29168"/>
    <w:lvl w:ilvl="0" w:tplc="B18CDC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6DC2DE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40BE2"/>
    <w:multiLevelType w:val="hybridMultilevel"/>
    <w:tmpl w:val="0EF62E32"/>
    <w:lvl w:ilvl="0" w:tplc="04090017">
      <w:start w:val="1"/>
      <w:numFmt w:val="ideographLegalTraditional"/>
      <w:lvlText w:val="%1、"/>
      <w:lvlJc w:val="left"/>
      <w:pPr>
        <w:ind w:left="70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5B34C8"/>
    <w:multiLevelType w:val="hybridMultilevel"/>
    <w:tmpl w:val="3BD23A4E"/>
    <w:lvl w:ilvl="0" w:tplc="55668B4A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485D6D5B"/>
    <w:multiLevelType w:val="hybridMultilevel"/>
    <w:tmpl w:val="135648A2"/>
    <w:lvl w:ilvl="0" w:tplc="C1FEDC3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E6420E"/>
    <w:multiLevelType w:val="hybridMultilevel"/>
    <w:tmpl w:val="DAD6DA32"/>
    <w:lvl w:ilvl="0" w:tplc="51B4FC1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C61183"/>
    <w:multiLevelType w:val="hybridMultilevel"/>
    <w:tmpl w:val="959C265A"/>
    <w:lvl w:ilvl="0" w:tplc="1854C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0D0562"/>
    <w:multiLevelType w:val="hybridMultilevel"/>
    <w:tmpl w:val="DAD6DA32"/>
    <w:lvl w:ilvl="0" w:tplc="51B4FC12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AA7B68"/>
    <w:multiLevelType w:val="hybridMultilevel"/>
    <w:tmpl w:val="C3867766"/>
    <w:lvl w:ilvl="0" w:tplc="CD90A0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A7"/>
    <w:rsid w:val="000C7660"/>
    <w:rsid w:val="000D16A5"/>
    <w:rsid w:val="00153987"/>
    <w:rsid w:val="00160621"/>
    <w:rsid w:val="002159E5"/>
    <w:rsid w:val="00394FBD"/>
    <w:rsid w:val="0048585C"/>
    <w:rsid w:val="004C6610"/>
    <w:rsid w:val="004D54F8"/>
    <w:rsid w:val="0068176E"/>
    <w:rsid w:val="006F2E28"/>
    <w:rsid w:val="007802BE"/>
    <w:rsid w:val="0083784C"/>
    <w:rsid w:val="008C27C0"/>
    <w:rsid w:val="00944CAB"/>
    <w:rsid w:val="00A26B90"/>
    <w:rsid w:val="00A507A7"/>
    <w:rsid w:val="00A71694"/>
    <w:rsid w:val="00AB6A23"/>
    <w:rsid w:val="00AD30EB"/>
    <w:rsid w:val="00C72DA5"/>
    <w:rsid w:val="00C8045E"/>
    <w:rsid w:val="00C94014"/>
    <w:rsid w:val="00CB0FB7"/>
    <w:rsid w:val="00E61DCD"/>
    <w:rsid w:val="00F347F0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B5561"/>
  <w15:chartTrackingRefBased/>
  <w15:docId w15:val="{04D30A16-222E-4788-B793-9634C5F4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7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B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B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李昕寧</dc:creator>
  <cp:keywords/>
  <dc:description/>
  <cp:lastModifiedBy>李昕寧</cp:lastModifiedBy>
  <cp:revision>2</cp:revision>
  <cp:lastPrinted>2023-12-04T08:21:00Z</cp:lastPrinted>
  <dcterms:created xsi:type="dcterms:W3CDTF">2023-12-06T09:05:00Z</dcterms:created>
  <dcterms:modified xsi:type="dcterms:W3CDTF">2023-12-06T09:05:00Z</dcterms:modified>
</cp:coreProperties>
</file>