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E8" w:rsidRPr="00017D3A" w:rsidRDefault="00017D3A">
      <w:pPr>
        <w:pStyle w:val="a4"/>
        <w:spacing w:line="500" w:lineRule="exact"/>
        <w:jc w:val="center"/>
        <w:rPr>
          <w:sz w:val="32"/>
          <w:szCs w:val="32"/>
        </w:rPr>
      </w:pPr>
      <w:r w:rsidRPr="00017D3A">
        <w:rPr>
          <w:rFonts w:hAnsi="標楷體" w:hint="eastAsia"/>
          <w:sz w:val="32"/>
          <w:szCs w:val="32"/>
        </w:rPr>
        <w:t>公立大學校院資源整合暨轉型發展計畫經費補助審查原則</w:t>
      </w:r>
    </w:p>
    <w:p w:rsidR="009B654B" w:rsidRDefault="009B654B" w:rsidP="009B654B">
      <w:pPr>
        <w:pStyle w:val="a4"/>
        <w:spacing w:line="300" w:lineRule="exact"/>
        <w:jc w:val="right"/>
        <w:rPr>
          <w:rFonts w:hAnsi="標楷體" w:cs="Arial"/>
          <w:b w:val="0"/>
          <w:sz w:val="24"/>
        </w:rPr>
      </w:pPr>
      <w:r w:rsidRPr="009B654B">
        <w:rPr>
          <w:rFonts w:hAnsi="標楷體" w:cs="Arial" w:hint="eastAsia"/>
          <w:b w:val="0"/>
          <w:sz w:val="24"/>
        </w:rPr>
        <w:t>96.3.27教育部教育經費分配審議委員會第1次會議通過</w:t>
      </w:r>
    </w:p>
    <w:p w:rsidR="00250332" w:rsidRDefault="00250332" w:rsidP="00250332">
      <w:pPr>
        <w:pStyle w:val="a4"/>
        <w:spacing w:line="300" w:lineRule="exact"/>
        <w:jc w:val="right"/>
        <w:rPr>
          <w:rFonts w:hAnsi="標楷體" w:cs="Arial"/>
          <w:b w:val="0"/>
          <w:sz w:val="24"/>
        </w:rPr>
      </w:pPr>
      <w:r w:rsidRPr="009B654B">
        <w:rPr>
          <w:rFonts w:hAnsi="標楷體" w:cs="Arial" w:hint="eastAsia"/>
          <w:b w:val="0"/>
          <w:sz w:val="24"/>
        </w:rPr>
        <w:t>9</w:t>
      </w:r>
      <w:r>
        <w:rPr>
          <w:rFonts w:hAnsi="標楷體" w:cs="Arial" w:hint="eastAsia"/>
          <w:b w:val="0"/>
          <w:sz w:val="24"/>
        </w:rPr>
        <w:t>7</w:t>
      </w:r>
      <w:r w:rsidRPr="009B654B">
        <w:rPr>
          <w:rFonts w:hAnsi="標楷體" w:cs="Arial" w:hint="eastAsia"/>
          <w:b w:val="0"/>
          <w:sz w:val="24"/>
        </w:rPr>
        <w:t>.3.</w:t>
      </w:r>
      <w:r>
        <w:rPr>
          <w:rFonts w:hAnsi="標楷體" w:cs="Arial" w:hint="eastAsia"/>
          <w:b w:val="0"/>
          <w:sz w:val="24"/>
        </w:rPr>
        <w:t>24</w:t>
      </w:r>
      <w:r w:rsidRPr="009B654B">
        <w:rPr>
          <w:rFonts w:hAnsi="標楷體" w:cs="Arial" w:hint="eastAsia"/>
          <w:b w:val="0"/>
          <w:sz w:val="24"/>
        </w:rPr>
        <w:t>教育部教育經費分配審議委員會</w:t>
      </w:r>
      <w:r w:rsidRPr="00250332">
        <w:rPr>
          <w:rFonts w:ascii="新細明體" w:hAnsi="新細明體" w:cs="新細明體" w:hint="eastAsia"/>
          <w:b w:val="0"/>
          <w:sz w:val="24"/>
        </w:rPr>
        <w:t>第</w:t>
      </w:r>
      <w:r w:rsidRPr="00250332">
        <w:rPr>
          <w:rFonts w:ascii="新細明體" w:hAnsi="新細明體" w:cs="新細明體" w:hint="eastAsia"/>
          <w:b w:val="0"/>
          <w:sz w:val="24"/>
        </w:rPr>
        <w:t>1</w:t>
      </w:r>
      <w:r w:rsidRPr="00250332">
        <w:rPr>
          <w:rFonts w:ascii="新細明體" w:hAnsi="新細明體" w:cs="新細明體" w:hint="eastAsia"/>
          <w:b w:val="0"/>
          <w:sz w:val="24"/>
        </w:rPr>
        <w:t>分組第</w:t>
      </w:r>
      <w:r w:rsidRPr="00250332">
        <w:rPr>
          <w:rFonts w:ascii="新細明體" w:hAnsi="新細明體" w:cs="新細明體" w:hint="eastAsia"/>
          <w:b w:val="0"/>
          <w:sz w:val="24"/>
        </w:rPr>
        <w:t>1</w:t>
      </w:r>
      <w:r w:rsidRPr="00250332">
        <w:rPr>
          <w:rFonts w:ascii="新細明體" w:hAnsi="新細明體" w:cs="新細明體" w:hint="eastAsia"/>
          <w:b w:val="0"/>
          <w:sz w:val="24"/>
        </w:rPr>
        <w:t>次會議</w:t>
      </w:r>
      <w:r w:rsidRPr="009B654B">
        <w:rPr>
          <w:rFonts w:hAnsi="標楷體" w:cs="Arial" w:hint="eastAsia"/>
          <w:b w:val="0"/>
          <w:sz w:val="24"/>
        </w:rPr>
        <w:t>通過</w:t>
      </w:r>
    </w:p>
    <w:p w:rsidR="00CB22A3" w:rsidRDefault="00CB22A3" w:rsidP="00CB22A3">
      <w:pPr>
        <w:pStyle w:val="a4"/>
        <w:spacing w:line="300" w:lineRule="exact"/>
        <w:jc w:val="right"/>
        <w:rPr>
          <w:rFonts w:hAnsi="標楷體" w:cs="Arial"/>
          <w:b w:val="0"/>
          <w:sz w:val="24"/>
        </w:rPr>
      </w:pPr>
      <w:r w:rsidRPr="009B654B">
        <w:rPr>
          <w:rFonts w:hAnsi="標楷體" w:cs="Arial" w:hint="eastAsia"/>
          <w:b w:val="0"/>
          <w:sz w:val="24"/>
        </w:rPr>
        <w:t>9</w:t>
      </w:r>
      <w:r>
        <w:rPr>
          <w:rFonts w:hAnsi="標楷體" w:cs="Arial" w:hint="eastAsia"/>
          <w:b w:val="0"/>
          <w:sz w:val="24"/>
        </w:rPr>
        <w:t>7</w:t>
      </w:r>
      <w:r w:rsidRPr="009B654B">
        <w:rPr>
          <w:rFonts w:hAnsi="標楷體" w:cs="Arial" w:hint="eastAsia"/>
          <w:b w:val="0"/>
          <w:sz w:val="24"/>
        </w:rPr>
        <w:t>.</w:t>
      </w:r>
      <w:r>
        <w:rPr>
          <w:rFonts w:hAnsi="標楷體" w:cs="Arial" w:hint="eastAsia"/>
          <w:b w:val="0"/>
          <w:sz w:val="24"/>
        </w:rPr>
        <w:t>10</w:t>
      </w:r>
      <w:r w:rsidRPr="009B654B">
        <w:rPr>
          <w:rFonts w:hAnsi="標楷體" w:cs="Arial" w:hint="eastAsia"/>
          <w:b w:val="0"/>
          <w:sz w:val="24"/>
        </w:rPr>
        <w:t>.</w:t>
      </w:r>
      <w:r>
        <w:rPr>
          <w:rFonts w:hAnsi="標楷體" w:cs="Arial" w:hint="eastAsia"/>
          <w:b w:val="0"/>
          <w:sz w:val="24"/>
        </w:rPr>
        <w:t>8</w:t>
      </w:r>
      <w:r w:rsidRPr="009B654B">
        <w:rPr>
          <w:rFonts w:hAnsi="標楷體" w:cs="Arial" w:hint="eastAsia"/>
          <w:b w:val="0"/>
          <w:sz w:val="24"/>
        </w:rPr>
        <w:t>教育部教育經費分配審議委員會</w:t>
      </w:r>
      <w:r w:rsidRPr="00250332">
        <w:rPr>
          <w:rFonts w:ascii="新細明體" w:hAnsi="新細明體" w:cs="新細明體" w:hint="eastAsia"/>
          <w:b w:val="0"/>
          <w:sz w:val="24"/>
        </w:rPr>
        <w:t>第</w:t>
      </w:r>
      <w:r w:rsidRPr="00250332">
        <w:rPr>
          <w:rFonts w:ascii="新細明體" w:hAnsi="新細明體" w:cs="新細明體" w:hint="eastAsia"/>
          <w:b w:val="0"/>
          <w:sz w:val="24"/>
        </w:rPr>
        <w:t>1</w:t>
      </w:r>
      <w:r w:rsidRPr="00250332">
        <w:rPr>
          <w:rFonts w:ascii="新細明體" w:hAnsi="新細明體" w:cs="新細明體" w:hint="eastAsia"/>
          <w:b w:val="0"/>
          <w:sz w:val="24"/>
        </w:rPr>
        <w:t>分組第</w:t>
      </w:r>
      <w:r>
        <w:rPr>
          <w:rFonts w:ascii="新細明體" w:hAnsi="新細明體" w:cs="新細明體" w:hint="eastAsia"/>
          <w:b w:val="0"/>
          <w:sz w:val="24"/>
        </w:rPr>
        <w:t>5</w:t>
      </w:r>
      <w:r w:rsidRPr="00250332">
        <w:rPr>
          <w:rFonts w:ascii="新細明體" w:hAnsi="新細明體" w:cs="新細明體" w:hint="eastAsia"/>
          <w:b w:val="0"/>
          <w:sz w:val="24"/>
        </w:rPr>
        <w:t>次會議</w:t>
      </w:r>
      <w:r w:rsidR="009360E7" w:rsidRPr="009B654B">
        <w:rPr>
          <w:rFonts w:hAnsi="標楷體" w:cs="Arial" w:hint="eastAsia"/>
          <w:b w:val="0"/>
          <w:sz w:val="24"/>
        </w:rPr>
        <w:t>通過</w:t>
      </w:r>
    </w:p>
    <w:p w:rsidR="00DD5C03" w:rsidRDefault="00DD5C03" w:rsidP="00CB22A3">
      <w:pPr>
        <w:pStyle w:val="a4"/>
        <w:spacing w:line="300" w:lineRule="exact"/>
        <w:jc w:val="right"/>
        <w:rPr>
          <w:rFonts w:hAnsi="標楷體" w:cs="Arial" w:hint="eastAsia"/>
          <w:b w:val="0"/>
          <w:sz w:val="24"/>
        </w:rPr>
      </w:pPr>
      <w:r>
        <w:rPr>
          <w:rFonts w:hAnsi="標楷體" w:cs="Arial"/>
          <w:b w:val="0"/>
          <w:sz w:val="24"/>
        </w:rPr>
        <w:t>108</w:t>
      </w:r>
      <w:r w:rsidRPr="009B654B">
        <w:rPr>
          <w:rFonts w:hAnsi="標楷體" w:cs="Arial" w:hint="eastAsia"/>
          <w:b w:val="0"/>
          <w:sz w:val="24"/>
        </w:rPr>
        <w:t>.</w:t>
      </w:r>
      <w:r>
        <w:rPr>
          <w:rFonts w:hAnsi="標楷體" w:cs="Arial"/>
          <w:b w:val="0"/>
          <w:sz w:val="24"/>
        </w:rPr>
        <w:t>5</w:t>
      </w:r>
      <w:r w:rsidRPr="009B654B">
        <w:rPr>
          <w:rFonts w:hAnsi="標楷體" w:cs="Arial" w:hint="eastAsia"/>
          <w:b w:val="0"/>
          <w:sz w:val="24"/>
        </w:rPr>
        <w:t>.</w:t>
      </w:r>
      <w:r>
        <w:rPr>
          <w:rFonts w:hAnsi="標楷體" w:cs="Arial"/>
          <w:b w:val="0"/>
          <w:sz w:val="24"/>
        </w:rPr>
        <w:t>2</w:t>
      </w:r>
      <w:r>
        <w:rPr>
          <w:rFonts w:hAnsi="標楷體" w:cs="Arial" w:hint="eastAsia"/>
          <w:b w:val="0"/>
          <w:sz w:val="24"/>
        </w:rPr>
        <w:t>8</w:t>
      </w:r>
      <w:r w:rsidRPr="009B654B">
        <w:rPr>
          <w:rFonts w:hAnsi="標楷體" w:cs="Arial" w:hint="eastAsia"/>
          <w:b w:val="0"/>
          <w:sz w:val="24"/>
        </w:rPr>
        <w:t>教育部教育經費分配審議委員會</w:t>
      </w:r>
      <w:r w:rsidRPr="00250332">
        <w:rPr>
          <w:rFonts w:ascii="新細明體" w:hAnsi="新細明體" w:cs="新細明體" w:hint="eastAsia"/>
          <w:b w:val="0"/>
          <w:sz w:val="24"/>
        </w:rPr>
        <w:t>第第</w:t>
      </w:r>
      <w:r>
        <w:rPr>
          <w:rFonts w:ascii="新細明體" w:hAnsi="新細明體" w:cs="新細明體" w:hint="eastAsia"/>
          <w:b w:val="0"/>
          <w:sz w:val="24"/>
        </w:rPr>
        <w:t>2</w:t>
      </w:r>
      <w:bookmarkStart w:id="0" w:name="_GoBack"/>
      <w:bookmarkEnd w:id="0"/>
      <w:r w:rsidRPr="00250332">
        <w:rPr>
          <w:rFonts w:ascii="新細明體" w:hAnsi="新細明體" w:cs="新細明體" w:hint="eastAsia"/>
          <w:b w:val="0"/>
          <w:sz w:val="24"/>
        </w:rPr>
        <w:t>次會議</w:t>
      </w:r>
      <w:r w:rsidRPr="009B654B">
        <w:rPr>
          <w:rFonts w:hAnsi="標楷體" w:cs="Arial" w:hint="eastAsia"/>
          <w:b w:val="0"/>
          <w:sz w:val="24"/>
        </w:rPr>
        <w:t>通過</w:t>
      </w:r>
    </w:p>
    <w:p w:rsidR="00CB22A3" w:rsidRPr="00CB22A3" w:rsidRDefault="00CB22A3" w:rsidP="00250332">
      <w:pPr>
        <w:pStyle w:val="a4"/>
        <w:spacing w:line="300" w:lineRule="exact"/>
        <w:jc w:val="right"/>
        <w:rPr>
          <w:rFonts w:hAnsi="標楷體" w:cs="Arial"/>
          <w:b w:val="0"/>
          <w:sz w:val="24"/>
        </w:rPr>
      </w:pPr>
    </w:p>
    <w:p w:rsidR="00250332" w:rsidRPr="00250332" w:rsidRDefault="00250332" w:rsidP="009B654B">
      <w:pPr>
        <w:pStyle w:val="a4"/>
        <w:spacing w:line="300" w:lineRule="exact"/>
        <w:jc w:val="right"/>
        <w:rPr>
          <w:b w:val="0"/>
          <w:sz w:val="36"/>
        </w:rPr>
      </w:pPr>
    </w:p>
    <w:p w:rsidR="00CD27E8" w:rsidRPr="0088724F" w:rsidRDefault="00CD27E8">
      <w:pPr>
        <w:pStyle w:val="a4"/>
        <w:spacing w:line="500" w:lineRule="exact"/>
        <w:jc w:val="left"/>
      </w:pPr>
      <w:r w:rsidRPr="0088724F">
        <w:rPr>
          <w:rFonts w:hint="eastAsia"/>
        </w:rPr>
        <w:t xml:space="preserve">                                 </w:t>
      </w:r>
    </w:p>
    <w:p w:rsidR="00CD27E8" w:rsidRPr="003A068F" w:rsidRDefault="00CD27E8">
      <w:pPr>
        <w:pStyle w:val="a4"/>
        <w:spacing w:beforeLines="50" w:before="180" w:line="500" w:lineRule="exact"/>
        <w:jc w:val="left"/>
        <w:rPr>
          <w:sz w:val="32"/>
          <w:szCs w:val="32"/>
        </w:rPr>
      </w:pPr>
      <w:r w:rsidRPr="003A068F">
        <w:rPr>
          <w:rFonts w:hint="eastAsia"/>
          <w:sz w:val="32"/>
          <w:szCs w:val="32"/>
        </w:rPr>
        <w:t>一、依據</w:t>
      </w:r>
    </w:p>
    <w:p w:rsidR="00CD27E8" w:rsidRPr="00017D3A" w:rsidRDefault="00017D3A">
      <w:pPr>
        <w:pStyle w:val="a6"/>
        <w:spacing w:after="0" w:line="5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  <w:r w:rsidRPr="00017D3A">
        <w:rPr>
          <w:rFonts w:ascii="標楷體" w:eastAsia="標楷體" w:hAnsi="標楷體" w:hint="eastAsia"/>
          <w:sz w:val="28"/>
          <w:szCs w:val="28"/>
        </w:rPr>
        <w:t>依據「大學法」第六條、大學法施行細則第四條、「</w:t>
      </w:r>
      <w:r w:rsidRPr="00017D3A">
        <w:rPr>
          <w:rFonts w:ascii="標楷體" w:eastAsia="標楷體" w:hAnsi="標楷體" w:hint="eastAsia"/>
          <w:spacing w:val="-8"/>
          <w:sz w:val="28"/>
          <w:szCs w:val="28"/>
        </w:rPr>
        <w:t>大</w:t>
      </w:r>
      <w:r w:rsidRPr="00017D3A">
        <w:rPr>
          <w:rFonts w:ascii="標楷體" w:eastAsia="標楷體" w:hAnsi="標楷體" w:hint="eastAsia"/>
          <w:sz w:val="28"/>
          <w:szCs w:val="28"/>
        </w:rPr>
        <w:t>學及其分校分部專科部設立變更停辦辦法」第二十一條至第二十九條規定及</w:t>
      </w:r>
      <w:r w:rsidRPr="00017D3A">
        <w:rPr>
          <w:rFonts w:eastAsia="標楷體" w:hint="eastAsia"/>
          <w:sz w:val="28"/>
          <w:szCs w:val="28"/>
        </w:rPr>
        <w:t>行政院九十四年四月一日院臺教字第○九四○○○五九四五號函核定之「師範校院定位與轉型發展方案」</w:t>
      </w:r>
      <w:r w:rsidRPr="00017D3A">
        <w:rPr>
          <w:rFonts w:ascii="標楷體" w:eastAsia="標楷體" w:hAnsi="標楷體" w:hint="eastAsia"/>
          <w:sz w:val="28"/>
          <w:szCs w:val="28"/>
        </w:rPr>
        <w:t>訂定本原則。</w:t>
      </w:r>
    </w:p>
    <w:p w:rsidR="00CD27E8" w:rsidRPr="003A068F" w:rsidRDefault="00CD27E8" w:rsidP="003A068F">
      <w:pPr>
        <w:pStyle w:val="a4"/>
        <w:tabs>
          <w:tab w:val="left" w:pos="540"/>
        </w:tabs>
        <w:spacing w:beforeLines="50" w:before="180" w:line="500" w:lineRule="exact"/>
        <w:ind w:left="13" w:hangingChars="4" w:hanging="13"/>
        <w:rPr>
          <w:sz w:val="32"/>
          <w:szCs w:val="32"/>
        </w:rPr>
      </w:pPr>
      <w:r w:rsidRPr="003A068F">
        <w:rPr>
          <w:rFonts w:hint="eastAsia"/>
          <w:sz w:val="32"/>
          <w:szCs w:val="32"/>
        </w:rPr>
        <w:t>二、目的</w:t>
      </w:r>
    </w:p>
    <w:p w:rsidR="00017D3A" w:rsidRPr="00017D3A" w:rsidRDefault="00017D3A" w:rsidP="00017D3A">
      <w:pPr>
        <w:numPr>
          <w:ilvl w:val="0"/>
          <w:numId w:val="14"/>
        </w:numPr>
        <w:tabs>
          <w:tab w:val="clear" w:pos="735"/>
          <w:tab w:val="num" w:pos="900"/>
        </w:tabs>
        <w:spacing w:line="500" w:lineRule="exact"/>
        <w:ind w:left="900" w:hanging="900"/>
        <w:jc w:val="both"/>
        <w:rPr>
          <w:rFonts w:ascii="標楷體" w:eastAsia="標楷體" w:hAnsi="標楷體"/>
          <w:sz w:val="28"/>
          <w:szCs w:val="28"/>
        </w:rPr>
      </w:pPr>
      <w:r w:rsidRPr="00017D3A">
        <w:rPr>
          <w:rFonts w:ascii="標楷體" w:eastAsia="標楷體" w:hAnsi="標楷體" w:hint="eastAsia"/>
          <w:sz w:val="28"/>
          <w:szCs w:val="28"/>
        </w:rPr>
        <w:t>為提昇高等教育品質、研究水準及有效整合大學資源，教育部（以下簡稱本部）鼓勵國立大學校院跨校組成大學系統、研究中心及以合併等方式進行資源整合，並視國家整體資源及各校推動資源整合情形提供經費補助。</w:t>
      </w:r>
    </w:p>
    <w:p w:rsidR="00CD27E8" w:rsidRPr="00017D3A" w:rsidRDefault="00017D3A" w:rsidP="00017D3A">
      <w:pPr>
        <w:numPr>
          <w:ilvl w:val="0"/>
          <w:numId w:val="14"/>
        </w:numPr>
        <w:tabs>
          <w:tab w:val="clear" w:pos="735"/>
          <w:tab w:val="num" w:pos="900"/>
        </w:tabs>
        <w:spacing w:line="500" w:lineRule="exact"/>
        <w:ind w:left="900" w:hanging="900"/>
        <w:jc w:val="both"/>
        <w:rPr>
          <w:rFonts w:ascii="標楷體" w:eastAsia="標楷體" w:hAnsi="標楷體"/>
          <w:sz w:val="28"/>
          <w:szCs w:val="28"/>
        </w:rPr>
      </w:pPr>
      <w:r w:rsidRPr="00017D3A">
        <w:rPr>
          <w:rFonts w:ascii="標楷體" w:eastAsia="標楷體" w:hAnsi="標楷體" w:hint="eastAsia"/>
          <w:sz w:val="28"/>
          <w:szCs w:val="28"/>
        </w:rPr>
        <w:t>傳承師範大學及教育大學優質師資培育典範，育成卓越教師，提昇教育素質，及融匯進步教育專業能量，促進師範大學及教育大學轉型發展</w:t>
      </w:r>
      <w:r w:rsidRPr="00017D3A">
        <w:rPr>
          <w:rFonts w:ascii="標楷體" w:eastAsia="標楷體" w:hAnsi="標楷體"/>
          <w:sz w:val="28"/>
          <w:szCs w:val="28"/>
        </w:rPr>
        <w:t>，</w:t>
      </w:r>
      <w:r w:rsidRPr="00017D3A">
        <w:rPr>
          <w:rFonts w:ascii="標楷體" w:eastAsia="標楷體" w:hAnsi="標楷體" w:hint="eastAsia"/>
          <w:sz w:val="28"/>
          <w:szCs w:val="28"/>
        </w:rPr>
        <w:t>強化其體質，增進教育競爭力</w:t>
      </w:r>
      <w:r w:rsidRPr="00017D3A">
        <w:rPr>
          <w:rFonts w:ascii="標楷體" w:eastAsia="標楷體" w:hAnsi="標楷體"/>
          <w:sz w:val="28"/>
          <w:szCs w:val="28"/>
        </w:rPr>
        <w:t>。</w:t>
      </w:r>
    </w:p>
    <w:p w:rsidR="00CD27E8" w:rsidRPr="0088724F" w:rsidRDefault="00CD27E8">
      <w:pPr>
        <w:pStyle w:val="a4"/>
        <w:spacing w:beforeLines="50" w:before="180" w:line="500" w:lineRule="exact"/>
        <w:ind w:left="12" w:hangingChars="4" w:hanging="12"/>
      </w:pPr>
      <w:r w:rsidRPr="0088724F">
        <w:rPr>
          <w:rFonts w:hint="eastAsia"/>
        </w:rPr>
        <w:t>三、補助對象</w:t>
      </w:r>
    </w:p>
    <w:p w:rsidR="003A068F" w:rsidRPr="003A068F" w:rsidRDefault="003A068F" w:rsidP="003A068F">
      <w:pPr>
        <w:numPr>
          <w:ilvl w:val="0"/>
          <w:numId w:val="15"/>
        </w:numPr>
        <w:tabs>
          <w:tab w:val="num" w:pos="692"/>
        </w:tabs>
        <w:spacing w:line="500" w:lineRule="exact"/>
        <w:ind w:left="737" w:hanging="737"/>
        <w:jc w:val="both"/>
        <w:rPr>
          <w:rFonts w:ascii="標楷體" w:eastAsia="標楷體" w:hAnsi="標楷體" w:cs="標楷體"/>
          <w:sz w:val="28"/>
          <w:szCs w:val="28"/>
        </w:rPr>
      </w:pPr>
      <w:r w:rsidRPr="003A068F">
        <w:rPr>
          <w:rFonts w:ascii="標楷體" w:eastAsia="標楷體" w:hAnsi="標楷體" w:cs="標楷體" w:hint="eastAsia"/>
          <w:sz w:val="28"/>
          <w:szCs w:val="28"/>
        </w:rPr>
        <w:t>參與</w:t>
      </w:r>
      <w:r w:rsidRPr="003A068F">
        <w:rPr>
          <w:rFonts w:ascii="標楷體" w:eastAsia="標楷體" w:hAnsi="標楷體" w:hint="eastAsia"/>
          <w:sz w:val="28"/>
          <w:szCs w:val="28"/>
        </w:rPr>
        <w:t>跨校組成大學系統、研究中心以及合併計畫之國立大學校院</w:t>
      </w:r>
      <w:r w:rsidRPr="003A068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A068F" w:rsidRPr="003A068F" w:rsidRDefault="003A068F" w:rsidP="003A068F">
      <w:pPr>
        <w:numPr>
          <w:ilvl w:val="0"/>
          <w:numId w:val="15"/>
        </w:numPr>
        <w:tabs>
          <w:tab w:val="num" w:pos="692"/>
        </w:tabs>
        <w:spacing w:line="500" w:lineRule="exact"/>
        <w:ind w:left="737" w:hanging="737"/>
        <w:jc w:val="both"/>
        <w:rPr>
          <w:rFonts w:ascii="標楷體" w:eastAsia="標楷體" w:hAnsi="標楷體" w:cs="標楷體"/>
          <w:sz w:val="28"/>
          <w:szCs w:val="28"/>
        </w:rPr>
      </w:pPr>
      <w:r w:rsidRPr="003A068F">
        <w:rPr>
          <w:rFonts w:ascii="標楷體" w:eastAsia="標楷體" w:hAnsi="標楷體" w:hint="eastAsia"/>
          <w:sz w:val="28"/>
          <w:szCs w:val="28"/>
        </w:rPr>
        <w:t>師範大學及教育大學。</w:t>
      </w:r>
    </w:p>
    <w:p w:rsidR="00CD27E8" w:rsidRPr="003A068F" w:rsidRDefault="00CD27E8" w:rsidP="003A068F">
      <w:pPr>
        <w:pStyle w:val="a5"/>
        <w:spacing w:beforeLines="50" w:before="180" w:line="500" w:lineRule="exact"/>
        <w:ind w:left="1028" w:hangingChars="321" w:hanging="1028"/>
        <w:rPr>
          <w:rFonts w:ascii="標楷體"/>
          <w:b/>
          <w:sz w:val="32"/>
          <w:szCs w:val="32"/>
        </w:rPr>
      </w:pPr>
      <w:r w:rsidRPr="003A068F">
        <w:rPr>
          <w:rFonts w:ascii="標楷體" w:hint="eastAsia"/>
          <w:b/>
          <w:sz w:val="32"/>
          <w:szCs w:val="32"/>
        </w:rPr>
        <w:t>四、補助範圍</w:t>
      </w:r>
    </w:p>
    <w:p w:rsidR="007D20E2" w:rsidRPr="007D20E2" w:rsidRDefault="007D20E2" w:rsidP="007D20E2">
      <w:pPr>
        <w:spacing w:line="500" w:lineRule="exact"/>
        <w:ind w:left="840" w:rightChars="40" w:right="96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t>（一）跨校組成之大學系統、研究中心，所進行之跨校學術及教學、師資聘任、課程開設、教材編纂、圖書期刊（含電子資源）與國際學術交流等合作及整合事項所需之相關經費，得提報計畫及經費需求，向本部提出申請經費補助。</w:t>
      </w:r>
    </w:p>
    <w:p w:rsidR="007D20E2" w:rsidRPr="007D20E2" w:rsidRDefault="007D20E2" w:rsidP="007D20E2">
      <w:pPr>
        <w:tabs>
          <w:tab w:val="num" w:pos="692"/>
        </w:tabs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lastRenderedPageBreak/>
        <w:t>（二）大學校院依「</w:t>
      </w:r>
      <w:r w:rsidRPr="007D20E2">
        <w:rPr>
          <w:rFonts w:ascii="標楷體" w:eastAsia="標楷體" w:hAnsi="標楷體" w:hint="eastAsia"/>
          <w:spacing w:val="-8"/>
          <w:sz w:val="28"/>
          <w:szCs w:val="28"/>
        </w:rPr>
        <w:t>大</w:t>
      </w:r>
      <w:r w:rsidRPr="007D20E2">
        <w:rPr>
          <w:rFonts w:ascii="標楷體" w:eastAsia="標楷體" w:hAnsi="標楷體" w:hint="eastAsia"/>
          <w:sz w:val="28"/>
          <w:szCs w:val="28"/>
        </w:rPr>
        <w:t>學及其分校分部專科部設立變更停辦辦法」執行資源整合，</w:t>
      </w:r>
      <w:r w:rsidRPr="007D20E2">
        <w:rPr>
          <w:rFonts w:ascii="標楷體" w:eastAsia="標楷體" w:hAnsi="標楷體" w:hint="eastAsia"/>
          <w:color w:val="000000"/>
          <w:sz w:val="28"/>
          <w:szCs w:val="28"/>
        </w:rPr>
        <w:t>有擴充校地、校舍之需要，或因擴充系、所、學程須增聘師資者，得於合併計畫中提出，本得視國家整體資源情況，優先補助經費及增加師資員額。前揭資源挹注</w:t>
      </w:r>
      <w:r w:rsidRPr="007D20E2">
        <w:rPr>
          <w:rFonts w:ascii="標楷體" w:eastAsia="標楷體" w:hAnsi="標楷體" w:hint="eastAsia"/>
          <w:sz w:val="28"/>
          <w:szCs w:val="28"/>
        </w:rPr>
        <w:t>須俟合併計畫報本部核定，進入實質合併階段後，方可補助。</w:t>
      </w:r>
    </w:p>
    <w:p w:rsidR="007D20E2" w:rsidRPr="007D20E2" w:rsidRDefault="007D20E2" w:rsidP="007D20E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t>（三）國立大學申請合併先期合作計畫經費補助在符合下列原則，且不違背前項原則，得衡酌實際情況專案補助教學圖儀設備。</w:t>
      </w:r>
    </w:p>
    <w:p w:rsidR="007D20E2" w:rsidRPr="007D20E2" w:rsidRDefault="007D20E2" w:rsidP="007D20E2">
      <w:pPr>
        <w:numPr>
          <w:ilvl w:val="0"/>
          <w:numId w:val="8"/>
        </w:numPr>
        <w:tabs>
          <w:tab w:val="clear" w:pos="1920"/>
          <w:tab w:val="num" w:pos="900"/>
        </w:tabs>
        <w:spacing w:line="500" w:lineRule="exact"/>
        <w:ind w:left="641" w:hanging="101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t>學校確實依整合規劃期程持續積極推動合併計畫。</w:t>
      </w:r>
    </w:p>
    <w:p w:rsidR="007D20E2" w:rsidRPr="007D20E2" w:rsidRDefault="007D20E2" w:rsidP="007D20E2">
      <w:pPr>
        <w:numPr>
          <w:ilvl w:val="0"/>
          <w:numId w:val="8"/>
        </w:numPr>
        <w:tabs>
          <w:tab w:val="clear" w:pos="1920"/>
          <w:tab w:val="num" w:pos="900"/>
        </w:tabs>
        <w:spacing w:line="500" w:lineRule="exact"/>
        <w:ind w:left="641" w:hanging="101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t>合作計畫確實有助於提昇學校之教學及研究。</w:t>
      </w:r>
      <w:r w:rsidR="00E523E9">
        <w:rPr>
          <w:rFonts w:ascii="標楷體" w:eastAsia="標楷體" w:hAnsi="標楷體" w:hint="eastAsia"/>
          <w:sz w:val="28"/>
          <w:szCs w:val="28"/>
        </w:rPr>
        <w:t>我看看</w:t>
      </w:r>
    </w:p>
    <w:p w:rsidR="007D20E2" w:rsidRPr="007D20E2" w:rsidRDefault="007D20E2" w:rsidP="007D20E2">
      <w:pPr>
        <w:numPr>
          <w:ilvl w:val="0"/>
          <w:numId w:val="8"/>
        </w:numPr>
        <w:tabs>
          <w:tab w:val="clear" w:pos="1920"/>
          <w:tab w:val="num" w:pos="900"/>
        </w:tabs>
        <w:spacing w:line="500" w:lineRule="exact"/>
        <w:ind w:left="641" w:hanging="101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t>合作計畫對於未來合併計畫之順利推動有實質助益。</w:t>
      </w:r>
    </w:p>
    <w:p w:rsidR="007D20E2" w:rsidRPr="007D20E2" w:rsidRDefault="007D20E2" w:rsidP="007D20E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D20E2">
        <w:rPr>
          <w:rFonts w:ascii="標楷體" w:eastAsia="標楷體" w:hAnsi="標楷體" w:hint="eastAsia"/>
          <w:sz w:val="28"/>
          <w:szCs w:val="28"/>
        </w:rPr>
        <w:t>（四）師範大學及教育大學進行轉型</w:t>
      </w:r>
      <w:r w:rsidRPr="007D20E2">
        <w:rPr>
          <w:rFonts w:ascii="標楷體" w:eastAsia="標楷體" w:hAnsi="標楷體"/>
          <w:bCs/>
          <w:sz w:val="28"/>
          <w:szCs w:val="28"/>
        </w:rPr>
        <w:t>發展</w:t>
      </w:r>
      <w:r w:rsidRPr="007D20E2">
        <w:rPr>
          <w:rFonts w:ascii="標楷體" w:eastAsia="標楷體" w:hAnsi="標楷體" w:hint="eastAsia"/>
          <w:bCs/>
          <w:sz w:val="28"/>
          <w:szCs w:val="28"/>
        </w:rPr>
        <w:t>計畫，應就第六點第四項所列補助項目</w:t>
      </w:r>
      <w:r w:rsidRPr="007D20E2">
        <w:rPr>
          <w:rFonts w:ascii="標楷體" w:eastAsia="標楷體" w:hAnsi="標楷體" w:hint="eastAsia"/>
          <w:sz w:val="28"/>
          <w:szCs w:val="28"/>
        </w:rPr>
        <w:t>提報計畫，向本部申請經費補助。</w:t>
      </w:r>
    </w:p>
    <w:p w:rsidR="00CD27E8" w:rsidRPr="00E76F7D" w:rsidRDefault="00CD27E8" w:rsidP="007D20E2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76F7D">
        <w:rPr>
          <w:rFonts w:ascii="標楷體" w:eastAsia="標楷體" w:hAnsi="標楷體" w:hint="eastAsia"/>
          <w:b/>
          <w:sz w:val="32"/>
          <w:szCs w:val="32"/>
        </w:rPr>
        <w:t>五、審核程序</w:t>
      </w:r>
    </w:p>
    <w:p w:rsidR="00E76F7D" w:rsidRPr="00E76F7D" w:rsidRDefault="00E76F7D" w:rsidP="00E76F7D">
      <w:pPr>
        <w:adjustRightInd w:val="0"/>
        <w:snapToGrid w:val="0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（一）國立大學校院跨校組成之大學系統、研究中心，應提出籌組計畫，並經參與學校校務會議通過後，報請本部備查；所需計畫經費得向本部提出申請，本部並得邀請專家學者進行審查。</w:t>
      </w:r>
    </w:p>
    <w:p w:rsidR="00E76F7D" w:rsidRPr="00E76F7D" w:rsidRDefault="00E76F7D" w:rsidP="00E76F7D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cs="新細明體" w:hint="eastAsia"/>
          <w:color w:val="000000"/>
          <w:sz w:val="28"/>
          <w:szCs w:val="28"/>
        </w:rPr>
        <w:t>（二）</w:t>
      </w:r>
      <w:r w:rsidRPr="00E76F7D">
        <w:rPr>
          <w:rFonts w:ascii="標楷體" w:eastAsia="標楷體" w:hAnsi="標楷體" w:hint="eastAsia"/>
          <w:sz w:val="28"/>
          <w:szCs w:val="28"/>
        </w:rPr>
        <w:t>「國立大學合併推動發展計畫」：</w:t>
      </w:r>
      <w:r w:rsidRPr="00E76F7D">
        <w:rPr>
          <w:rFonts w:ascii="標楷體" w:eastAsia="標楷體" w:hAnsi="標楷體" w:cs="新細明體" w:hint="eastAsia"/>
          <w:color w:val="000000"/>
          <w:sz w:val="28"/>
          <w:szCs w:val="28"/>
        </w:rPr>
        <w:t>大學變更審議會審議大學之合併時，得組成大學合併審查小組，審查合併計畫書及其他有關合併之重要事項。合併</w:t>
      </w:r>
      <w:r w:rsidRPr="00E76F7D">
        <w:rPr>
          <w:rFonts w:ascii="標楷體" w:eastAsia="標楷體" w:hAnsi="標楷體" w:hint="eastAsia"/>
          <w:sz w:val="28"/>
          <w:szCs w:val="28"/>
        </w:rPr>
        <w:t>計畫書經</w:t>
      </w:r>
      <w:r w:rsidRPr="00E76F7D">
        <w:rPr>
          <w:rFonts w:ascii="標楷體" w:eastAsia="標楷體" w:hAnsi="標楷體" w:cs="新細明體" w:hint="eastAsia"/>
          <w:color w:val="000000"/>
          <w:sz w:val="28"/>
          <w:szCs w:val="28"/>
        </w:rPr>
        <w:t>大學合併審查小組及</w:t>
      </w:r>
      <w:r w:rsidRPr="00E76F7D">
        <w:rPr>
          <w:rFonts w:ascii="標楷體" w:eastAsia="標楷體" w:hAnsi="標楷體" w:hint="eastAsia"/>
          <w:sz w:val="28"/>
          <w:szCs w:val="28"/>
        </w:rPr>
        <w:t>大學變審議會審議通過後，報院核定。</w:t>
      </w:r>
    </w:p>
    <w:p w:rsidR="00E76F7D" w:rsidRPr="00E76F7D" w:rsidRDefault="00E76F7D" w:rsidP="00E76F7D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cs="新細明體" w:hint="eastAsia"/>
          <w:color w:val="000000"/>
          <w:sz w:val="28"/>
          <w:szCs w:val="28"/>
        </w:rPr>
        <w:t>（三）</w:t>
      </w:r>
      <w:r w:rsidRPr="00E76F7D">
        <w:rPr>
          <w:rFonts w:ascii="標楷體" w:eastAsia="標楷體" w:hAnsi="標楷體" w:hint="eastAsia"/>
          <w:sz w:val="28"/>
          <w:szCs w:val="28"/>
        </w:rPr>
        <w:t>「國立大學合併先期合作計畫」：學校整合規劃進度說明應併同計畫提出，經本部審核確認合併先期合作計畫符合第四點第三項所列原則，方可通過審查。</w:t>
      </w:r>
    </w:p>
    <w:p w:rsidR="003525B7" w:rsidRPr="00E76F7D" w:rsidRDefault="00E76F7D" w:rsidP="00E76F7D">
      <w:pPr>
        <w:pStyle w:val="a4"/>
        <w:spacing w:line="500" w:lineRule="exact"/>
        <w:ind w:left="840" w:hangingChars="300" w:hanging="840"/>
        <w:rPr>
          <w:rFonts w:hAnsi="標楷體"/>
          <w:b w:val="0"/>
          <w:sz w:val="28"/>
          <w:szCs w:val="28"/>
        </w:rPr>
      </w:pPr>
      <w:r w:rsidRPr="00E76F7D">
        <w:rPr>
          <w:rFonts w:hAnsi="標楷體" w:hint="eastAsia"/>
          <w:b w:val="0"/>
          <w:sz w:val="28"/>
          <w:szCs w:val="28"/>
        </w:rPr>
        <w:t>（四）「師範大學及教育大學</w:t>
      </w:r>
      <w:r w:rsidRPr="00E76F7D">
        <w:rPr>
          <w:rFonts w:hint="eastAsia"/>
          <w:b w:val="0"/>
          <w:sz w:val="28"/>
          <w:szCs w:val="28"/>
        </w:rPr>
        <w:t>轉型</w:t>
      </w:r>
      <w:r w:rsidRPr="00E76F7D">
        <w:rPr>
          <w:rFonts w:hAnsi="標楷體"/>
          <w:b w:val="0"/>
          <w:bCs/>
          <w:sz w:val="28"/>
          <w:szCs w:val="28"/>
        </w:rPr>
        <w:t>發展</w:t>
      </w:r>
      <w:r w:rsidRPr="00E76F7D">
        <w:rPr>
          <w:rFonts w:hAnsi="標楷體" w:hint="eastAsia"/>
          <w:b w:val="0"/>
          <w:bCs/>
          <w:sz w:val="28"/>
          <w:szCs w:val="28"/>
        </w:rPr>
        <w:t>計畫</w:t>
      </w:r>
      <w:r w:rsidRPr="00E76F7D">
        <w:rPr>
          <w:rFonts w:hAnsi="標楷體" w:hint="eastAsia"/>
          <w:b w:val="0"/>
          <w:sz w:val="28"/>
          <w:szCs w:val="28"/>
        </w:rPr>
        <w:t>」：</w:t>
      </w:r>
      <w:r w:rsidRPr="00E76F7D">
        <w:rPr>
          <w:b w:val="0"/>
          <w:sz w:val="28"/>
          <w:szCs w:val="28"/>
        </w:rPr>
        <w:t>申請</w:t>
      </w:r>
      <w:r w:rsidRPr="00E76F7D">
        <w:rPr>
          <w:rFonts w:hint="eastAsia"/>
          <w:b w:val="0"/>
          <w:sz w:val="28"/>
          <w:szCs w:val="28"/>
        </w:rPr>
        <w:t>學校</w:t>
      </w:r>
      <w:r w:rsidRPr="00E76F7D">
        <w:rPr>
          <w:b w:val="0"/>
          <w:sz w:val="28"/>
          <w:szCs w:val="28"/>
        </w:rPr>
        <w:t>應</w:t>
      </w:r>
      <w:r w:rsidRPr="00E76F7D">
        <w:rPr>
          <w:rFonts w:hint="eastAsia"/>
          <w:b w:val="0"/>
          <w:sz w:val="28"/>
          <w:szCs w:val="28"/>
        </w:rPr>
        <w:t>就第六點第四項</w:t>
      </w:r>
      <w:r w:rsidRPr="00E76F7D">
        <w:rPr>
          <w:b w:val="0"/>
          <w:sz w:val="28"/>
          <w:szCs w:val="28"/>
        </w:rPr>
        <w:t>檢附詳細計畫書（含計畫目的、參與單位、執行期間、工作內容、預定進度、預期效益及經費預算表等）向</w:t>
      </w:r>
      <w:r w:rsidRPr="00E76F7D">
        <w:rPr>
          <w:rFonts w:hint="eastAsia"/>
          <w:b w:val="0"/>
          <w:sz w:val="28"/>
          <w:szCs w:val="28"/>
        </w:rPr>
        <w:t>本部</w:t>
      </w:r>
      <w:r w:rsidRPr="00E76F7D">
        <w:rPr>
          <w:b w:val="0"/>
          <w:sz w:val="28"/>
          <w:szCs w:val="28"/>
        </w:rPr>
        <w:t>提出申請。</w:t>
      </w:r>
      <w:r w:rsidRPr="00E76F7D">
        <w:rPr>
          <w:rFonts w:hint="eastAsia"/>
          <w:b w:val="0"/>
          <w:sz w:val="28"/>
          <w:szCs w:val="28"/>
        </w:rPr>
        <w:t>由本部組成審查小組</w:t>
      </w:r>
      <w:r w:rsidRPr="00E76F7D">
        <w:rPr>
          <w:b w:val="0"/>
          <w:sz w:val="28"/>
          <w:szCs w:val="28"/>
        </w:rPr>
        <w:t>進行審查</w:t>
      </w:r>
      <w:r w:rsidRPr="00E76F7D">
        <w:rPr>
          <w:rFonts w:hint="eastAsia"/>
          <w:b w:val="0"/>
          <w:sz w:val="28"/>
          <w:szCs w:val="28"/>
        </w:rPr>
        <w:t>，</w:t>
      </w:r>
      <w:r w:rsidRPr="00E76F7D">
        <w:rPr>
          <w:b w:val="0"/>
          <w:sz w:val="28"/>
          <w:szCs w:val="28"/>
        </w:rPr>
        <w:t>就申請</w:t>
      </w:r>
      <w:r w:rsidRPr="00E76F7D">
        <w:rPr>
          <w:rFonts w:hint="eastAsia"/>
          <w:b w:val="0"/>
          <w:sz w:val="28"/>
          <w:szCs w:val="28"/>
        </w:rPr>
        <w:t>學校</w:t>
      </w:r>
      <w:r w:rsidRPr="00E76F7D">
        <w:rPr>
          <w:b w:val="0"/>
          <w:sz w:val="28"/>
          <w:szCs w:val="28"/>
        </w:rPr>
        <w:t>之執行能力、實施方式及預期效益等進行審查。</w:t>
      </w:r>
    </w:p>
    <w:p w:rsidR="00CD27E8" w:rsidRPr="00E76F7D" w:rsidRDefault="00CD27E8" w:rsidP="003525B7">
      <w:pPr>
        <w:pStyle w:val="a4"/>
        <w:spacing w:beforeLines="50" w:before="180" w:line="500" w:lineRule="exact"/>
        <w:rPr>
          <w:rFonts w:hAnsi="標楷體"/>
          <w:sz w:val="32"/>
          <w:szCs w:val="32"/>
        </w:rPr>
      </w:pPr>
      <w:r w:rsidRPr="00E76F7D">
        <w:rPr>
          <w:rFonts w:hAnsi="標楷體" w:hint="eastAsia"/>
          <w:sz w:val="32"/>
          <w:szCs w:val="32"/>
        </w:rPr>
        <w:t>六、審核項目</w:t>
      </w:r>
    </w:p>
    <w:p w:rsidR="00E76F7D" w:rsidRPr="00E76F7D" w:rsidRDefault="00E76F7D" w:rsidP="00E76F7D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（一）大學校院跨校組成之大學系統、研究中心：</w:t>
      </w:r>
    </w:p>
    <w:p w:rsidR="00E76F7D" w:rsidRPr="00E76F7D" w:rsidRDefault="00E76F7D" w:rsidP="00AD27B5">
      <w:pPr>
        <w:numPr>
          <w:ilvl w:val="0"/>
          <w:numId w:val="13"/>
        </w:numPr>
        <w:tabs>
          <w:tab w:val="clear" w:pos="840"/>
          <w:tab w:val="num" w:pos="1080"/>
        </w:tabs>
        <w:snapToGrid w:val="0"/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大學系統、研究中心籌組目的及必要性。</w:t>
      </w:r>
    </w:p>
    <w:p w:rsidR="00E76F7D" w:rsidRPr="00E76F7D" w:rsidRDefault="00E76F7D" w:rsidP="00AD27B5">
      <w:pPr>
        <w:numPr>
          <w:ilvl w:val="0"/>
          <w:numId w:val="13"/>
        </w:numPr>
        <w:tabs>
          <w:tab w:val="clear" w:pos="840"/>
          <w:tab w:val="num" w:pos="1080"/>
        </w:tabs>
        <w:snapToGrid w:val="0"/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組成大學系統、研究中心各學校概況、發展重點與組成大學系統發展之短程、中程及長程規劃重點方向。</w:t>
      </w:r>
    </w:p>
    <w:p w:rsidR="00E76F7D" w:rsidRPr="00E76F7D" w:rsidRDefault="00E76F7D" w:rsidP="00AD27B5">
      <w:pPr>
        <w:numPr>
          <w:ilvl w:val="0"/>
          <w:numId w:val="13"/>
        </w:numPr>
        <w:tabs>
          <w:tab w:val="clear" w:pos="840"/>
          <w:tab w:val="num" w:pos="1080"/>
        </w:tabs>
        <w:snapToGrid w:val="0"/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組成大學系統、研究中心各學校之合作及整合事項。</w:t>
      </w:r>
    </w:p>
    <w:p w:rsidR="00E76F7D" w:rsidRPr="00E76F7D" w:rsidRDefault="00E76F7D" w:rsidP="00AD27B5">
      <w:pPr>
        <w:numPr>
          <w:ilvl w:val="0"/>
          <w:numId w:val="13"/>
        </w:numPr>
        <w:tabs>
          <w:tab w:val="clear" w:pos="840"/>
          <w:tab w:val="num" w:pos="1080"/>
        </w:tabs>
        <w:snapToGrid w:val="0"/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大學系統、研究中心委員會設置及組織運作方式。</w:t>
      </w:r>
    </w:p>
    <w:p w:rsidR="00E76F7D" w:rsidRPr="00E76F7D" w:rsidRDefault="00E76F7D" w:rsidP="00AD27B5">
      <w:pPr>
        <w:numPr>
          <w:ilvl w:val="0"/>
          <w:numId w:val="13"/>
        </w:numPr>
        <w:tabs>
          <w:tab w:val="clear" w:pos="840"/>
          <w:tab w:val="num" w:pos="1080"/>
        </w:tabs>
        <w:snapToGrid w:val="0"/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績效評估機制。</w:t>
      </w:r>
    </w:p>
    <w:p w:rsidR="00E76F7D" w:rsidRPr="00E76F7D" w:rsidRDefault="00E76F7D" w:rsidP="00AD27B5">
      <w:pPr>
        <w:numPr>
          <w:ilvl w:val="0"/>
          <w:numId w:val="13"/>
        </w:numPr>
        <w:tabs>
          <w:tab w:val="clear" w:pos="840"/>
          <w:tab w:val="num" w:pos="1080"/>
        </w:tabs>
        <w:snapToGrid w:val="0"/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其他與系統、研究中心合作及整合相關之重要事項。</w:t>
      </w:r>
    </w:p>
    <w:p w:rsidR="00E76F7D" w:rsidRPr="00E76F7D" w:rsidRDefault="00E76F7D" w:rsidP="00E76F7D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（二）「國立大學合併推動發展計畫」：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合併計畫之緣起。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學校現況與問題分析。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學校合併規劃過程。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合併期程及應辦理事項。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規劃內容：包括發展願景、校區規劃、校舍空間之配置與調整、行政組織架構與員額配置、學術組織與系所之配置及財務規劃。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預期效益。</w:t>
      </w:r>
    </w:p>
    <w:p w:rsidR="00E76F7D" w:rsidRPr="00E76F7D" w:rsidRDefault="00E76F7D" w:rsidP="00AD27B5">
      <w:pPr>
        <w:numPr>
          <w:ilvl w:val="0"/>
          <w:numId w:val="9"/>
        </w:numPr>
        <w:tabs>
          <w:tab w:val="clear" w:pos="96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其他相關措施。</w:t>
      </w:r>
    </w:p>
    <w:p w:rsidR="00E76F7D" w:rsidRPr="00E76F7D" w:rsidRDefault="00E76F7D" w:rsidP="00E76F7D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（三）「國立大學合併先期合作計畫」：</w:t>
      </w:r>
    </w:p>
    <w:p w:rsidR="00E76F7D" w:rsidRPr="00E76F7D" w:rsidRDefault="00E76F7D" w:rsidP="00AD27B5">
      <w:pPr>
        <w:numPr>
          <w:ilvl w:val="1"/>
          <w:numId w:val="9"/>
        </w:numPr>
        <w:tabs>
          <w:tab w:val="clear" w:pos="120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計畫目的與內容。</w:t>
      </w:r>
    </w:p>
    <w:p w:rsidR="00E76F7D" w:rsidRPr="00E76F7D" w:rsidRDefault="00E76F7D" w:rsidP="00AD27B5">
      <w:pPr>
        <w:numPr>
          <w:ilvl w:val="1"/>
          <w:numId w:val="9"/>
        </w:numPr>
        <w:tabs>
          <w:tab w:val="clear" w:pos="120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計畫期程。</w:t>
      </w:r>
    </w:p>
    <w:p w:rsidR="00E76F7D" w:rsidRPr="00E76F7D" w:rsidRDefault="00E76F7D" w:rsidP="00AD27B5">
      <w:pPr>
        <w:numPr>
          <w:ilvl w:val="1"/>
          <w:numId w:val="9"/>
        </w:numPr>
        <w:tabs>
          <w:tab w:val="clear" w:pos="120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經費需求。</w:t>
      </w:r>
    </w:p>
    <w:p w:rsidR="00E76F7D" w:rsidRPr="00E76F7D" w:rsidRDefault="00E76F7D" w:rsidP="00AD27B5">
      <w:pPr>
        <w:numPr>
          <w:ilvl w:val="1"/>
          <w:numId w:val="9"/>
        </w:numPr>
        <w:tabs>
          <w:tab w:val="clear" w:pos="120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color w:val="000000"/>
          <w:sz w:val="28"/>
          <w:szCs w:val="28"/>
        </w:rPr>
        <w:t>預期效益。</w:t>
      </w:r>
    </w:p>
    <w:p w:rsidR="00E76F7D" w:rsidRPr="00E76F7D" w:rsidRDefault="00E76F7D" w:rsidP="00AD27B5">
      <w:pPr>
        <w:numPr>
          <w:ilvl w:val="1"/>
          <w:numId w:val="9"/>
        </w:numPr>
        <w:tabs>
          <w:tab w:val="clear" w:pos="1200"/>
          <w:tab w:val="num" w:pos="1080"/>
        </w:tabs>
        <w:spacing w:line="500" w:lineRule="exact"/>
        <w:ind w:left="1080" w:hanging="5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整合規劃進度說明。</w:t>
      </w:r>
    </w:p>
    <w:p w:rsidR="00E76F7D" w:rsidRPr="00E76F7D" w:rsidRDefault="00E76F7D" w:rsidP="00E76F7D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（四）「師範大學及教育大學</w:t>
      </w:r>
      <w:r w:rsidRPr="00E76F7D">
        <w:rPr>
          <w:rFonts w:eastAsia="標楷體" w:hint="eastAsia"/>
          <w:sz w:val="28"/>
          <w:szCs w:val="28"/>
        </w:rPr>
        <w:t>轉型</w:t>
      </w:r>
      <w:r w:rsidRPr="00E76F7D">
        <w:rPr>
          <w:rFonts w:ascii="標楷體" w:eastAsia="標楷體" w:hAnsi="標楷體"/>
          <w:bCs/>
          <w:sz w:val="28"/>
          <w:szCs w:val="28"/>
        </w:rPr>
        <w:t>發展</w:t>
      </w:r>
      <w:r w:rsidRPr="00E76F7D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E76F7D">
        <w:rPr>
          <w:rFonts w:ascii="標楷體" w:eastAsia="標楷體" w:hAnsi="標楷體" w:hint="eastAsia"/>
          <w:sz w:val="28"/>
          <w:szCs w:val="28"/>
        </w:rPr>
        <w:t>」：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因應轉型發展規劃各校定位與特色發展所為之具體措施。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因應轉型之行政組織精簡與整合。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因應系所調整需購置或更新之設備。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因應系所轉型之教師增能國內外研習活動。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因應轉型開設之整合學程、創新領域與教學等課程或活動。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強化學術研究與國際交流之國內外研習活動。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提升學生素質與就業發展所為之具體措施。</w:t>
      </w:r>
    </w:p>
    <w:p w:rsidR="00E76F7D" w:rsidRPr="00E76F7D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1080" w:hanging="540"/>
        <w:rPr>
          <w:rFonts w:ascii="標楷體" w:eastAsia="標楷體" w:hAnsi="標楷體"/>
          <w:sz w:val="28"/>
          <w:szCs w:val="28"/>
        </w:rPr>
      </w:pPr>
      <w:r w:rsidRPr="00E76F7D">
        <w:rPr>
          <w:rFonts w:ascii="標楷體" w:eastAsia="標楷體" w:hAnsi="標楷體" w:hint="eastAsia"/>
          <w:sz w:val="28"/>
          <w:szCs w:val="28"/>
        </w:rPr>
        <w:t>推動師範大學及教育大學圖書資源之整合與共享。</w:t>
      </w:r>
    </w:p>
    <w:p w:rsidR="00E76F7D" w:rsidRPr="00AD27B5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900"/>
        <w:rPr>
          <w:rFonts w:ascii="標楷體" w:eastAsia="標楷體" w:hAnsi="標楷體"/>
          <w:sz w:val="28"/>
          <w:szCs w:val="28"/>
        </w:rPr>
      </w:pPr>
      <w:r w:rsidRPr="00AD27B5">
        <w:rPr>
          <w:rFonts w:ascii="標楷體" w:eastAsia="標楷體" w:hAnsi="標楷體" w:hint="eastAsia"/>
          <w:sz w:val="28"/>
          <w:szCs w:val="28"/>
        </w:rPr>
        <w:t>因應轉型所推動之教師進修與諮詢服務。</w:t>
      </w:r>
    </w:p>
    <w:p w:rsidR="00E76F7D" w:rsidRPr="00AD27B5" w:rsidRDefault="00E76F7D" w:rsidP="00AD27B5">
      <w:pPr>
        <w:pStyle w:val="Web"/>
        <w:numPr>
          <w:ilvl w:val="0"/>
          <w:numId w:val="16"/>
        </w:numPr>
        <w:tabs>
          <w:tab w:val="clear" w:pos="694"/>
          <w:tab w:val="num" w:pos="1080"/>
        </w:tabs>
        <w:spacing w:before="0" w:beforeAutospacing="0" w:after="0" w:afterAutospacing="0" w:line="500" w:lineRule="exact"/>
        <w:ind w:left="900"/>
        <w:rPr>
          <w:rFonts w:ascii="標楷體" w:eastAsia="標楷體" w:hAnsi="標楷體"/>
          <w:sz w:val="28"/>
          <w:szCs w:val="28"/>
        </w:rPr>
      </w:pPr>
      <w:r w:rsidRPr="00AD27B5">
        <w:rPr>
          <w:rFonts w:ascii="標楷體" w:eastAsia="標楷體" w:hAnsi="標楷體" w:hint="eastAsia"/>
          <w:sz w:val="28"/>
          <w:szCs w:val="28"/>
        </w:rPr>
        <w:t>推動與鄰近大學校院整併具具體績效之措施</w:t>
      </w:r>
      <w:r w:rsidRPr="00AD27B5">
        <w:rPr>
          <w:rFonts w:ascii="標楷體" w:eastAsia="標楷體" w:hAnsi="標楷體"/>
          <w:sz w:val="28"/>
          <w:szCs w:val="28"/>
        </w:rPr>
        <w:t>。</w:t>
      </w:r>
    </w:p>
    <w:p w:rsidR="00CD27E8" w:rsidRPr="00B40AF3" w:rsidRDefault="00CD27E8" w:rsidP="00B40AF3">
      <w:pPr>
        <w:pStyle w:val="Web"/>
        <w:spacing w:beforeLines="50" w:before="180" w:beforeAutospacing="0" w:after="0" w:afterAutospacing="0" w:line="500" w:lineRule="exact"/>
        <w:rPr>
          <w:rFonts w:ascii="標楷體" w:eastAsia="標楷體" w:hAnsi="標楷體"/>
          <w:b/>
          <w:sz w:val="32"/>
          <w:szCs w:val="32"/>
        </w:rPr>
      </w:pPr>
      <w:r w:rsidRPr="00B40AF3">
        <w:rPr>
          <w:rFonts w:ascii="標楷體" w:eastAsia="標楷體" w:hAnsi="標楷體" w:hint="eastAsia"/>
          <w:b/>
          <w:sz w:val="32"/>
          <w:szCs w:val="32"/>
        </w:rPr>
        <w:t>七、補助成效考核</w:t>
      </w:r>
    </w:p>
    <w:p w:rsidR="008C2D14" w:rsidRPr="008C2D14" w:rsidRDefault="008C2D14" w:rsidP="008C2D14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（一）「國立大學合併推動發展計畫」：</w:t>
      </w:r>
    </w:p>
    <w:p w:rsidR="008C2D14" w:rsidRPr="008C2D14" w:rsidRDefault="008C2D14" w:rsidP="008C2D14">
      <w:pPr>
        <w:numPr>
          <w:ilvl w:val="0"/>
          <w:numId w:val="11"/>
        </w:numPr>
        <w:tabs>
          <w:tab w:val="clear" w:pos="840"/>
          <w:tab w:val="num" w:pos="900"/>
        </w:tabs>
        <w:spacing w:line="500" w:lineRule="exact"/>
        <w:ind w:left="900" w:hanging="577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bCs/>
          <w:sz w:val="28"/>
          <w:szCs w:val="28"/>
        </w:rPr>
        <w:t>學校應於本部核定合併後</w:t>
      </w:r>
      <w:r w:rsidRPr="008C2D14">
        <w:rPr>
          <w:rFonts w:ascii="標楷體" w:eastAsia="標楷體" w:hAnsi="標楷體" w:hint="eastAsia"/>
          <w:sz w:val="28"/>
          <w:szCs w:val="28"/>
        </w:rPr>
        <w:t>一年內完成學校組織規程之訂修，如有特殊原因，得經大學合併審查小組同意延長，最多以四年為限。學校內部實質整併作業應於教育部核定合併後四年內完成。未依合併計畫執行者，本部得視情況扣減經費之補助及調整學校發展規模。</w:t>
      </w:r>
    </w:p>
    <w:p w:rsidR="008C2D14" w:rsidRPr="008C2D14" w:rsidRDefault="008C2D14" w:rsidP="008C2D14">
      <w:pPr>
        <w:numPr>
          <w:ilvl w:val="0"/>
          <w:numId w:val="11"/>
        </w:numPr>
        <w:tabs>
          <w:tab w:val="clear" w:pos="840"/>
          <w:tab w:val="num" w:pos="900"/>
        </w:tabs>
        <w:spacing w:line="500" w:lineRule="exact"/>
        <w:ind w:left="900" w:hanging="577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本部將依資源整合推動期程及應規劃辦理事項定期追蹤執行成效，並視需要至學校訪視，如有未依計畫執行情形者，將依前項原則辦理。</w:t>
      </w:r>
    </w:p>
    <w:p w:rsidR="008C2D14" w:rsidRPr="008C2D14" w:rsidRDefault="008C2D14" w:rsidP="008C2D14">
      <w:pPr>
        <w:numPr>
          <w:ilvl w:val="0"/>
          <w:numId w:val="11"/>
        </w:numPr>
        <w:tabs>
          <w:tab w:val="clear" w:pos="840"/>
          <w:tab w:val="num" w:pos="900"/>
        </w:tabs>
        <w:spacing w:line="500" w:lineRule="exact"/>
        <w:ind w:left="900" w:hanging="577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因不可歸責於受補助單位之事由，致未能依計畫執行時，本部得按情節輕重扣減經費之補助及調整學校發展規模。</w:t>
      </w:r>
    </w:p>
    <w:p w:rsidR="008C2D14" w:rsidRPr="008C2D14" w:rsidRDefault="008C2D14" w:rsidP="008C2D14">
      <w:pPr>
        <w:numPr>
          <w:ilvl w:val="0"/>
          <w:numId w:val="11"/>
        </w:numPr>
        <w:tabs>
          <w:tab w:val="clear" w:pos="840"/>
          <w:tab w:val="num" w:pos="900"/>
        </w:tabs>
        <w:spacing w:line="500" w:lineRule="exact"/>
        <w:ind w:left="900" w:hanging="577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奉核定後之整合計畫案，所編列之經費應專款專用，在使用項目上得保留調整之彈性，惟經費請撥、支用、核銷結報應依「教育部補助及委辦經費核撥結報作業要點」規定辦理。</w:t>
      </w:r>
    </w:p>
    <w:p w:rsidR="008C2D14" w:rsidRPr="008C2D14" w:rsidRDefault="008C2D14" w:rsidP="008C2D14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（二）「國立大學合併先期合作計畫」：</w:t>
      </w:r>
    </w:p>
    <w:p w:rsidR="008C2D14" w:rsidRPr="008C2D14" w:rsidRDefault="008C2D14" w:rsidP="008C2D14">
      <w:pPr>
        <w:numPr>
          <w:ilvl w:val="0"/>
          <w:numId w:val="10"/>
        </w:numPr>
        <w:tabs>
          <w:tab w:val="clear" w:pos="1920"/>
          <w:tab w:val="num" w:pos="900"/>
        </w:tabs>
        <w:spacing w:line="500" w:lineRule="exact"/>
        <w:ind w:left="900" w:hanging="577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為加強經費執行之考核，學校整合規劃進度說明應併同計畫提出，且應於計畫執行完畢後一個月內，併同整合推動進展，函報執行成效，俾作為未來本部衡酌補助相關經費之參據。</w:t>
      </w:r>
    </w:p>
    <w:p w:rsidR="008C2D14" w:rsidRPr="008C2D14" w:rsidRDefault="008C2D14" w:rsidP="008C2D14">
      <w:pPr>
        <w:numPr>
          <w:ilvl w:val="0"/>
          <w:numId w:val="10"/>
        </w:numPr>
        <w:tabs>
          <w:tab w:val="clear" w:pos="1920"/>
          <w:tab w:val="num" w:pos="900"/>
        </w:tabs>
        <w:spacing w:line="500" w:lineRule="exact"/>
        <w:ind w:left="900" w:hanging="577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經費請撥、支用、核銷結報應依「教育部補助及委辦經費核撥結報作業要點」規定辦理。</w:t>
      </w:r>
    </w:p>
    <w:p w:rsidR="008C2D14" w:rsidRPr="008C2D14" w:rsidRDefault="008C2D14" w:rsidP="008C2D14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C2D14">
        <w:rPr>
          <w:rFonts w:ascii="標楷體" w:eastAsia="標楷體" w:hAnsi="標楷體" w:hint="eastAsia"/>
          <w:sz w:val="28"/>
          <w:szCs w:val="28"/>
        </w:rPr>
        <w:t>（三）「師範大學及教育大學轉型</w:t>
      </w:r>
      <w:r w:rsidRPr="008C2D14">
        <w:rPr>
          <w:rFonts w:ascii="標楷體" w:eastAsia="標楷體" w:hAnsi="標楷體"/>
          <w:bCs/>
          <w:sz w:val="28"/>
          <w:szCs w:val="28"/>
        </w:rPr>
        <w:t>發展</w:t>
      </w:r>
      <w:r w:rsidRPr="008C2D14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8C2D14">
        <w:rPr>
          <w:rFonts w:ascii="標楷體" w:eastAsia="標楷體" w:hAnsi="標楷體" w:hint="eastAsia"/>
          <w:sz w:val="28"/>
          <w:szCs w:val="28"/>
        </w:rPr>
        <w:t>」：</w:t>
      </w:r>
    </w:p>
    <w:p w:rsidR="008C2D14" w:rsidRPr="008C2D14" w:rsidRDefault="008C2D14" w:rsidP="008C2D14">
      <w:pPr>
        <w:pStyle w:val="Web"/>
        <w:numPr>
          <w:ilvl w:val="0"/>
          <w:numId w:val="17"/>
        </w:numPr>
        <w:tabs>
          <w:tab w:val="clear" w:pos="840"/>
          <w:tab w:val="num" w:pos="900"/>
        </w:tabs>
        <w:spacing w:before="0" w:beforeAutospacing="0" w:after="0" w:afterAutospacing="0" w:line="500" w:lineRule="exact"/>
        <w:ind w:left="900" w:hanging="540"/>
        <w:rPr>
          <w:rFonts w:ascii="標楷體" w:eastAsia="標楷體" w:hAnsi="標楷體"/>
          <w:sz w:val="28"/>
          <w:szCs w:val="28"/>
          <w:u w:val="single"/>
        </w:rPr>
      </w:pPr>
      <w:r w:rsidRPr="008C2D14">
        <w:rPr>
          <w:rFonts w:ascii="標楷體" w:eastAsia="標楷體" w:hAnsi="標楷體"/>
          <w:sz w:val="28"/>
          <w:szCs w:val="28"/>
        </w:rPr>
        <w:t>受補助</w:t>
      </w:r>
      <w:r w:rsidRPr="008C2D14">
        <w:rPr>
          <w:rFonts w:ascii="標楷體" w:eastAsia="標楷體" w:hAnsi="標楷體" w:hint="eastAsia"/>
          <w:sz w:val="28"/>
          <w:szCs w:val="28"/>
        </w:rPr>
        <w:t>學校</w:t>
      </w:r>
      <w:r w:rsidRPr="008C2D14">
        <w:rPr>
          <w:rFonts w:ascii="標楷體" w:eastAsia="標楷體" w:hAnsi="標楷體"/>
          <w:sz w:val="28"/>
          <w:szCs w:val="28"/>
        </w:rPr>
        <w:t>應</w:t>
      </w:r>
      <w:r w:rsidRPr="008C2D14">
        <w:rPr>
          <w:rFonts w:ascii="標楷體" w:eastAsia="標楷體" w:hAnsi="標楷體" w:hint="eastAsia"/>
          <w:sz w:val="28"/>
          <w:szCs w:val="28"/>
        </w:rPr>
        <w:t>依限</w:t>
      </w:r>
      <w:r w:rsidRPr="008C2D14">
        <w:rPr>
          <w:rFonts w:ascii="標楷體" w:eastAsia="標楷體" w:hAnsi="標楷體"/>
          <w:sz w:val="28"/>
          <w:szCs w:val="28"/>
        </w:rPr>
        <w:t>將辦理成果</w:t>
      </w:r>
      <w:r w:rsidRPr="008C2D14">
        <w:rPr>
          <w:rFonts w:ascii="標楷體" w:eastAsia="標楷體" w:hAnsi="標楷體" w:hint="eastAsia"/>
          <w:sz w:val="28"/>
          <w:szCs w:val="28"/>
        </w:rPr>
        <w:t>報告</w:t>
      </w:r>
      <w:r w:rsidRPr="008C2D14">
        <w:rPr>
          <w:rFonts w:ascii="標楷體" w:eastAsia="標楷體" w:hAnsi="標楷體"/>
          <w:sz w:val="28"/>
          <w:szCs w:val="28"/>
        </w:rPr>
        <w:t>（包含實施計畫、活動照片、重要會議紀錄、效益分析等）送本部備查。</w:t>
      </w:r>
    </w:p>
    <w:p w:rsidR="00CD27E8" w:rsidRPr="008C2D14" w:rsidRDefault="008C2D14" w:rsidP="008C2D14">
      <w:pPr>
        <w:pStyle w:val="Web"/>
        <w:numPr>
          <w:ilvl w:val="0"/>
          <w:numId w:val="17"/>
        </w:numPr>
        <w:tabs>
          <w:tab w:val="clear" w:pos="840"/>
          <w:tab w:val="num" w:pos="900"/>
        </w:tabs>
        <w:spacing w:before="0" w:beforeAutospacing="0" w:after="0" w:afterAutospacing="0" w:line="500" w:lineRule="exact"/>
        <w:ind w:left="900" w:hanging="540"/>
        <w:rPr>
          <w:rFonts w:ascii="標楷體" w:eastAsia="標楷體" w:hAnsi="標楷體"/>
          <w:sz w:val="28"/>
          <w:szCs w:val="28"/>
          <w:u w:val="single"/>
        </w:rPr>
      </w:pPr>
      <w:r w:rsidRPr="008C2D14">
        <w:rPr>
          <w:rFonts w:ascii="標楷體" w:eastAsia="標楷體" w:hAnsi="標楷體"/>
          <w:sz w:val="28"/>
          <w:szCs w:val="28"/>
        </w:rPr>
        <w:t>受補助</w:t>
      </w:r>
      <w:r w:rsidRPr="008C2D14">
        <w:rPr>
          <w:rFonts w:ascii="標楷體" w:eastAsia="標楷體" w:hAnsi="標楷體" w:hint="eastAsia"/>
          <w:sz w:val="28"/>
          <w:szCs w:val="28"/>
        </w:rPr>
        <w:t>學校</w:t>
      </w:r>
      <w:r w:rsidRPr="008C2D14">
        <w:rPr>
          <w:rFonts w:ascii="標楷體" w:eastAsia="標楷體" w:hAnsi="標楷體"/>
          <w:sz w:val="28"/>
          <w:szCs w:val="28"/>
        </w:rPr>
        <w:t>之經費執行率、進度控管及有無違規情事，作為嗣後本部審查</w:t>
      </w:r>
      <w:r w:rsidRPr="008C2D14">
        <w:rPr>
          <w:rFonts w:ascii="標楷體" w:eastAsia="標楷體" w:hAnsi="標楷體" w:hint="eastAsia"/>
          <w:sz w:val="28"/>
          <w:szCs w:val="28"/>
        </w:rPr>
        <w:t>其</w:t>
      </w:r>
      <w:r w:rsidRPr="008C2D14">
        <w:rPr>
          <w:rFonts w:ascii="標楷體" w:eastAsia="標楷體" w:hAnsi="標楷體"/>
          <w:sz w:val="28"/>
          <w:szCs w:val="28"/>
        </w:rPr>
        <w:t>相關補助經費之參考</w:t>
      </w:r>
      <w:r w:rsidRPr="008C2D14">
        <w:rPr>
          <w:rFonts w:ascii="標楷體" w:eastAsia="標楷體" w:hAnsi="標楷體" w:hint="eastAsia"/>
          <w:sz w:val="28"/>
          <w:szCs w:val="28"/>
        </w:rPr>
        <w:t>；其</w:t>
      </w:r>
      <w:r w:rsidRPr="008C2D14">
        <w:rPr>
          <w:rFonts w:ascii="標楷體" w:eastAsia="標楷體" w:hAnsi="標楷體"/>
          <w:sz w:val="28"/>
          <w:szCs w:val="28"/>
        </w:rPr>
        <w:t>有違規情事</w:t>
      </w:r>
      <w:r w:rsidRPr="008C2D14">
        <w:rPr>
          <w:rFonts w:ascii="標楷體" w:eastAsia="標楷體" w:hAnsi="標楷體" w:hint="eastAsia"/>
          <w:sz w:val="28"/>
          <w:szCs w:val="28"/>
        </w:rPr>
        <w:t>者</w:t>
      </w:r>
      <w:r w:rsidRPr="008C2D14">
        <w:rPr>
          <w:rFonts w:ascii="標楷體" w:eastAsia="標楷體" w:hAnsi="標楷體"/>
          <w:sz w:val="28"/>
          <w:szCs w:val="28"/>
        </w:rPr>
        <w:t>，追繳補助經費。</w:t>
      </w:r>
    </w:p>
    <w:sectPr w:rsidR="00CD27E8" w:rsidRPr="008C2D14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A2" w:rsidRDefault="00346DA2">
      <w:r>
        <w:separator/>
      </w:r>
    </w:p>
  </w:endnote>
  <w:endnote w:type="continuationSeparator" w:id="0">
    <w:p w:rsidR="00346DA2" w:rsidRDefault="0034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A2" w:rsidRDefault="00346DA2">
      <w:r>
        <w:separator/>
      </w:r>
    </w:p>
  </w:footnote>
  <w:footnote w:type="continuationSeparator" w:id="0">
    <w:p w:rsidR="00346DA2" w:rsidRDefault="0034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FDF"/>
    <w:multiLevelType w:val="hybridMultilevel"/>
    <w:tmpl w:val="DA464DD8"/>
    <w:lvl w:ilvl="0" w:tplc="6CEE557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452B08"/>
    <w:multiLevelType w:val="hybridMultilevel"/>
    <w:tmpl w:val="5F12AB24"/>
    <w:lvl w:ilvl="0" w:tplc="0B44AAC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906B4B"/>
    <w:multiLevelType w:val="hybridMultilevel"/>
    <w:tmpl w:val="E10E517E"/>
    <w:lvl w:ilvl="0" w:tplc="B15A6426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DE6077"/>
    <w:multiLevelType w:val="hybridMultilevel"/>
    <w:tmpl w:val="7BE80F0A"/>
    <w:lvl w:ilvl="0" w:tplc="35CC460A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A223AD"/>
    <w:multiLevelType w:val="multilevel"/>
    <w:tmpl w:val="30324558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63151A"/>
    <w:multiLevelType w:val="hybridMultilevel"/>
    <w:tmpl w:val="E144B35A"/>
    <w:lvl w:ilvl="0" w:tplc="3BD6F9F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u w:val="none"/>
      </w:rPr>
    </w:lvl>
    <w:lvl w:ilvl="1" w:tplc="B16047EE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0960B5C"/>
    <w:multiLevelType w:val="singleLevel"/>
    <w:tmpl w:val="F4F0644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432944CE"/>
    <w:multiLevelType w:val="hybridMultilevel"/>
    <w:tmpl w:val="972E42A6"/>
    <w:lvl w:ilvl="0" w:tplc="58ECAD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857A7F"/>
    <w:multiLevelType w:val="hybridMultilevel"/>
    <w:tmpl w:val="DB4CA048"/>
    <w:lvl w:ilvl="0" w:tplc="810C32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F50C52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D77EB6"/>
    <w:multiLevelType w:val="hybridMultilevel"/>
    <w:tmpl w:val="A594C43C"/>
    <w:lvl w:ilvl="0" w:tplc="C8169DF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497D51"/>
    <w:multiLevelType w:val="hybridMultilevel"/>
    <w:tmpl w:val="5E904262"/>
    <w:lvl w:ilvl="0" w:tplc="C64E4A3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7444B730">
      <w:start w:val="1"/>
      <w:numFmt w:val="decimal"/>
      <w:lvlText w:val="（%2）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2" w:tplc="FA089B1A">
      <w:start w:val="1"/>
      <w:numFmt w:val="upperLetter"/>
      <w:lvlText w:val="%3."/>
      <w:lvlJc w:val="left"/>
      <w:pPr>
        <w:tabs>
          <w:tab w:val="num" w:pos="1880"/>
        </w:tabs>
        <w:ind w:left="18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622A2646"/>
    <w:multiLevelType w:val="hybridMultilevel"/>
    <w:tmpl w:val="F4749E1A"/>
    <w:lvl w:ilvl="0" w:tplc="DFA673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z w:val="32"/>
        <w:szCs w:val="32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2" w15:restartNumberingAfterBreak="0">
    <w:nsid w:val="679C0F14"/>
    <w:multiLevelType w:val="hybridMultilevel"/>
    <w:tmpl w:val="DBB09112"/>
    <w:lvl w:ilvl="0" w:tplc="E130A6D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9D508D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B6F59CD"/>
    <w:multiLevelType w:val="hybridMultilevel"/>
    <w:tmpl w:val="846E1A1A"/>
    <w:lvl w:ilvl="0" w:tplc="53BE34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5D25221"/>
    <w:multiLevelType w:val="hybridMultilevel"/>
    <w:tmpl w:val="19CE6156"/>
    <w:lvl w:ilvl="0" w:tplc="EE2EE934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 w15:restartNumberingAfterBreak="0">
    <w:nsid w:val="7A9B68DE"/>
    <w:multiLevelType w:val="hybridMultilevel"/>
    <w:tmpl w:val="975E9ADE"/>
    <w:lvl w:ilvl="0" w:tplc="5546CEA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CD436C"/>
    <w:multiLevelType w:val="hybridMultilevel"/>
    <w:tmpl w:val="CBAAF700"/>
    <w:lvl w:ilvl="0" w:tplc="42EE1078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4"/>
        </w:tabs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4"/>
        </w:tabs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4"/>
        </w:tabs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4"/>
        </w:tabs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4"/>
        </w:tabs>
        <w:ind w:left="4654" w:hanging="4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37"/>
    <w:rsid w:val="00017D3A"/>
    <w:rsid w:val="00041491"/>
    <w:rsid w:val="00042F7B"/>
    <w:rsid w:val="000B1900"/>
    <w:rsid w:val="001305E1"/>
    <w:rsid w:val="0014674C"/>
    <w:rsid w:val="001E27DF"/>
    <w:rsid w:val="002401AE"/>
    <w:rsid w:val="00250332"/>
    <w:rsid w:val="00293AB7"/>
    <w:rsid w:val="002A0EE9"/>
    <w:rsid w:val="003303E2"/>
    <w:rsid w:val="00346DA2"/>
    <w:rsid w:val="003525B7"/>
    <w:rsid w:val="003654DB"/>
    <w:rsid w:val="00371D37"/>
    <w:rsid w:val="003A068F"/>
    <w:rsid w:val="003A1011"/>
    <w:rsid w:val="003A18E6"/>
    <w:rsid w:val="003F1CE8"/>
    <w:rsid w:val="00482638"/>
    <w:rsid w:val="005A77E8"/>
    <w:rsid w:val="005B48CC"/>
    <w:rsid w:val="005E22E5"/>
    <w:rsid w:val="00635F92"/>
    <w:rsid w:val="006A3F91"/>
    <w:rsid w:val="006E5905"/>
    <w:rsid w:val="007272DD"/>
    <w:rsid w:val="007342C9"/>
    <w:rsid w:val="00745CD1"/>
    <w:rsid w:val="00773E6C"/>
    <w:rsid w:val="00783346"/>
    <w:rsid w:val="007C2FDE"/>
    <w:rsid w:val="007D20E2"/>
    <w:rsid w:val="007D51AB"/>
    <w:rsid w:val="0088724F"/>
    <w:rsid w:val="008C2D14"/>
    <w:rsid w:val="008C4EC2"/>
    <w:rsid w:val="008D58CA"/>
    <w:rsid w:val="009360E7"/>
    <w:rsid w:val="00981838"/>
    <w:rsid w:val="009A288C"/>
    <w:rsid w:val="009B654B"/>
    <w:rsid w:val="00A2450D"/>
    <w:rsid w:val="00A950E4"/>
    <w:rsid w:val="00AD1E31"/>
    <w:rsid w:val="00AD27B5"/>
    <w:rsid w:val="00B40AF3"/>
    <w:rsid w:val="00B978CD"/>
    <w:rsid w:val="00BF2437"/>
    <w:rsid w:val="00C30C7A"/>
    <w:rsid w:val="00C3243F"/>
    <w:rsid w:val="00C5684D"/>
    <w:rsid w:val="00C73124"/>
    <w:rsid w:val="00CB22A3"/>
    <w:rsid w:val="00CD27E8"/>
    <w:rsid w:val="00CE542B"/>
    <w:rsid w:val="00CF29D2"/>
    <w:rsid w:val="00D02DEE"/>
    <w:rsid w:val="00D1062D"/>
    <w:rsid w:val="00D74607"/>
    <w:rsid w:val="00DD5C03"/>
    <w:rsid w:val="00E22072"/>
    <w:rsid w:val="00E523E9"/>
    <w:rsid w:val="00E76F7D"/>
    <w:rsid w:val="00EE4BD5"/>
    <w:rsid w:val="00F76257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738D6-E5BC-41C4-B9B4-3CBC3D3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b/>
      <w:sz w:val="36"/>
      <w:szCs w:val="20"/>
    </w:rPr>
  </w:style>
  <w:style w:type="paragraph" w:styleId="a4">
    <w:name w:val="Body Text"/>
    <w:basedOn w:val="a"/>
    <w:pPr>
      <w:jc w:val="both"/>
    </w:pPr>
    <w:rPr>
      <w:rFonts w:ascii="標楷體" w:eastAsia="標楷體"/>
      <w:b/>
      <w:sz w:val="30"/>
    </w:rPr>
  </w:style>
  <w:style w:type="paragraph" w:styleId="a5">
    <w:name w:val="Block Text"/>
    <w:basedOn w:val="a"/>
    <w:pPr>
      <w:ind w:left="540" w:rightChars="-136" w:right="-326" w:hangingChars="225" w:hanging="540"/>
    </w:pPr>
    <w:rPr>
      <w:rFonts w:eastAsia="標楷體"/>
    </w:rPr>
  </w:style>
  <w:style w:type="paragraph" w:styleId="a6">
    <w:name w:val="Body Text Indent"/>
    <w:basedOn w:val="a"/>
    <w:pPr>
      <w:spacing w:after="120"/>
      <w:ind w:leftChars="200" w:left="480"/>
    </w:p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3A068F"/>
    <w:rPr>
      <w:rFonts w:ascii="Arial" w:hAnsi="Arial"/>
      <w:sz w:val="18"/>
      <w:szCs w:val="18"/>
    </w:rPr>
  </w:style>
  <w:style w:type="paragraph" w:styleId="Web">
    <w:name w:val="Normal (Web)"/>
    <w:basedOn w:val="a"/>
    <w:rsid w:val="00E76F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2163</Characters>
  <Application>Microsoft Office Word</Application>
  <DocSecurity>0</DocSecurity>
  <Lines>18</Lines>
  <Paragraphs>5</Paragraphs>
  <ScaleCrop>false</ScaleCrop>
  <Company>moe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教育部補助國立大學健全發展計畫經費要點</dc:title>
  <dc:subject/>
  <dc:creator>moejsmpc</dc:creator>
  <cp:keywords/>
  <dc:description/>
  <cp:lastModifiedBy>林鎮和</cp:lastModifiedBy>
  <cp:revision>2</cp:revision>
  <cp:lastPrinted>2008-03-26T02:43:00Z</cp:lastPrinted>
  <dcterms:created xsi:type="dcterms:W3CDTF">2019-06-18T05:52:00Z</dcterms:created>
  <dcterms:modified xsi:type="dcterms:W3CDTF">2019-06-18T05:52:00Z</dcterms:modified>
</cp:coreProperties>
</file>