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FC" w:rsidRPr="006F65FC" w:rsidRDefault="006F65FC" w:rsidP="006F65FC">
      <w:pPr>
        <w:spacing w:line="460" w:lineRule="exact"/>
        <w:jc w:val="center"/>
        <w:rPr>
          <w:rFonts w:ascii="標楷體" w:eastAsia="標楷體" w:hAnsi="標楷體" w:hint="eastAsia"/>
          <w:b/>
          <w:color w:val="000000"/>
          <w:spacing w:val="-10"/>
          <w:sz w:val="40"/>
          <w:szCs w:val="40"/>
        </w:rPr>
      </w:pPr>
      <w:bookmarkStart w:id="0" w:name="_GoBack"/>
      <w:bookmarkEnd w:id="0"/>
      <w:r w:rsidRPr="006F65FC">
        <w:rPr>
          <w:rFonts w:ascii="標楷體" w:eastAsia="標楷體" w:hAnsi="標楷體" w:hint="eastAsia"/>
          <w:b/>
          <w:color w:val="000000"/>
          <w:spacing w:val="-10"/>
          <w:sz w:val="40"/>
          <w:szCs w:val="40"/>
        </w:rPr>
        <w:t>公職人員財產申報法施行細則</w:t>
      </w:r>
    </w:p>
    <w:p w:rsidR="006F65FC" w:rsidRDefault="006F65FC" w:rsidP="00A55E78">
      <w:pPr>
        <w:spacing w:line="460" w:lineRule="exact"/>
        <w:jc w:val="both"/>
        <w:rPr>
          <w:rFonts w:ascii="標楷體" w:eastAsia="標楷體" w:hAnsi="標楷體" w:hint="eastAsia"/>
          <w:color w:val="000000"/>
          <w:spacing w:val="-10"/>
          <w:sz w:val="40"/>
          <w:szCs w:val="40"/>
        </w:rPr>
      </w:pPr>
    </w:p>
    <w:p w:rsidR="006F65FC" w:rsidRDefault="006F65FC" w:rsidP="006F6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hint="eastAsia"/>
          <w:kern w:val="0"/>
        </w:rPr>
      </w:pPr>
      <w:smartTag w:uri="urn:schemas-microsoft-com:office:smarttags" w:element="chsdate">
        <w:smartTagPr>
          <w:attr w:name="IsROCDate" w:val="False"/>
          <w:attr w:name="IsLunarDate" w:val="False"/>
          <w:attr w:name="Day" w:val="30"/>
          <w:attr w:name="Month" w:val="7"/>
          <w:attr w:name="Year" w:val="1997"/>
        </w:smartTagPr>
        <w:r>
          <w:rPr>
            <w:rFonts w:ascii="標楷體" w:eastAsia="標楷體" w:hAnsi="標楷體" w:cs="細明體" w:hint="eastAsia"/>
            <w:kern w:val="0"/>
          </w:rPr>
          <w:t>97</w:t>
        </w:r>
        <w:r>
          <w:rPr>
            <w:rFonts w:ascii="標楷體" w:eastAsia="標楷體" w:hAnsi="標楷體" w:cs="細明體"/>
            <w:kern w:val="0"/>
          </w:rPr>
          <w:t>年</w:t>
        </w:r>
        <w:r>
          <w:rPr>
            <w:rFonts w:ascii="標楷體" w:eastAsia="標楷體" w:hAnsi="標楷體" w:cs="細明體" w:hint="eastAsia"/>
            <w:kern w:val="0"/>
          </w:rPr>
          <w:t>7</w:t>
        </w:r>
        <w:r>
          <w:rPr>
            <w:rFonts w:ascii="標楷體" w:eastAsia="標楷體" w:hAnsi="標楷體" w:cs="細明體"/>
            <w:kern w:val="0"/>
          </w:rPr>
          <w:t>月</w:t>
        </w:r>
        <w:r>
          <w:rPr>
            <w:rFonts w:ascii="標楷體" w:eastAsia="標楷體" w:hAnsi="標楷體" w:cs="細明體" w:hint="eastAsia"/>
            <w:kern w:val="0"/>
          </w:rPr>
          <w:t>30</w:t>
        </w:r>
        <w:r w:rsidRPr="006F65FC">
          <w:rPr>
            <w:rFonts w:ascii="標楷體" w:eastAsia="標楷體" w:hAnsi="標楷體" w:cs="細明體"/>
            <w:kern w:val="0"/>
          </w:rPr>
          <w:t>日</w:t>
        </w:r>
      </w:smartTag>
      <w:r w:rsidRPr="006F65FC">
        <w:rPr>
          <w:rFonts w:ascii="標楷體" w:eastAsia="標楷體" w:hAnsi="標楷體" w:cs="細明體"/>
          <w:kern w:val="0"/>
        </w:rPr>
        <w:t>行政院院臺法字第 0970030500 號令、考試院考臺組貳一字第</w:t>
      </w:r>
      <w:r>
        <w:rPr>
          <w:rFonts w:ascii="標楷體" w:eastAsia="標楷體" w:hAnsi="標楷體" w:cs="細明體"/>
          <w:kern w:val="0"/>
        </w:rPr>
        <w:t xml:space="preserve"> 09700046841</w:t>
      </w:r>
      <w:r w:rsidRPr="006F65FC">
        <w:rPr>
          <w:rFonts w:ascii="標楷體" w:eastAsia="標楷體" w:hAnsi="標楷體" w:cs="細明體"/>
          <w:kern w:val="0"/>
        </w:rPr>
        <w:t>號令、監察院（97）院台申參字第0971804203  號令會同修正發布全文 25 條；並自公職人員財產申報法</w:t>
      </w:r>
      <w:r>
        <w:rPr>
          <w:rFonts w:ascii="標楷體" w:eastAsia="標楷體" w:hAnsi="標楷體" w:cs="新細明體"/>
          <w:kern w:val="0"/>
        </w:rPr>
        <w:t>施行之日（</w:t>
      </w:r>
      <w:smartTag w:uri="urn:schemas-microsoft-com:office:smarttags" w:element="chsdate">
        <w:smartTagPr>
          <w:attr w:name="IsROCDate" w:val="False"/>
          <w:attr w:name="IsLunarDate" w:val="False"/>
          <w:attr w:name="Day" w:val="1"/>
          <w:attr w:name="Month" w:val="10"/>
          <w:attr w:name="Year" w:val="1997"/>
        </w:smartTagPr>
        <w:r>
          <w:rPr>
            <w:rFonts w:ascii="標楷體" w:eastAsia="標楷體" w:hAnsi="標楷體" w:cs="新細明體" w:hint="eastAsia"/>
            <w:kern w:val="0"/>
          </w:rPr>
          <w:t>97</w:t>
        </w:r>
        <w:r>
          <w:rPr>
            <w:rFonts w:ascii="標楷體" w:eastAsia="標楷體" w:hAnsi="標楷體" w:cs="新細明體"/>
            <w:kern w:val="0"/>
          </w:rPr>
          <w:t>年</w:t>
        </w:r>
        <w:r>
          <w:rPr>
            <w:rFonts w:ascii="標楷體" w:eastAsia="標楷體" w:hAnsi="標楷體" w:cs="新細明體" w:hint="eastAsia"/>
            <w:kern w:val="0"/>
          </w:rPr>
          <w:t>10</w:t>
        </w:r>
        <w:r>
          <w:rPr>
            <w:rFonts w:ascii="標楷體" w:eastAsia="標楷體" w:hAnsi="標楷體" w:cs="新細明體"/>
            <w:kern w:val="0"/>
          </w:rPr>
          <w:t>月</w:t>
        </w:r>
        <w:r>
          <w:rPr>
            <w:rFonts w:ascii="標楷體" w:eastAsia="標楷體" w:hAnsi="標楷體" w:cs="新細明體" w:hint="eastAsia"/>
            <w:kern w:val="0"/>
          </w:rPr>
          <w:t>1</w:t>
        </w:r>
        <w:r w:rsidRPr="006F65FC">
          <w:rPr>
            <w:rFonts w:ascii="標楷體" w:eastAsia="標楷體" w:hAnsi="標楷體" w:cs="新細明體"/>
            <w:kern w:val="0"/>
          </w:rPr>
          <w:t>日</w:t>
        </w:r>
      </w:smartTag>
      <w:r w:rsidRPr="006F65FC">
        <w:rPr>
          <w:rFonts w:ascii="標楷體" w:eastAsia="標楷體" w:hAnsi="標楷體" w:cs="新細明體"/>
          <w:kern w:val="0"/>
        </w:rPr>
        <w:t>）施行</w:t>
      </w:r>
    </w:p>
    <w:p w:rsidR="006F65FC" w:rsidRDefault="006F65FC" w:rsidP="006F65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新細明體" w:hint="eastAsia"/>
          <w:kern w:val="0"/>
        </w:rPr>
      </w:pPr>
    </w:p>
    <w:p w:rsidR="00A55E78" w:rsidRPr="00A55E78" w:rsidRDefault="00A55E78" w:rsidP="00043249">
      <w:pPr>
        <w:spacing w:line="460" w:lineRule="exact"/>
        <w:ind w:left="1078" w:hangingChars="385" w:hanging="107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第一條　本細則依公職人員財產申報法(以下簡稱本法)第十九條規定訂定之。</w:t>
      </w:r>
    </w:p>
    <w:p w:rsidR="00A55E78" w:rsidRPr="00A55E78" w:rsidRDefault="00A55E78" w:rsidP="00043249">
      <w:pPr>
        <w:pStyle w:val="a3"/>
        <w:spacing w:line="460" w:lineRule="exact"/>
        <w:ind w:left="1078" w:hangingChars="379" w:hanging="106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第二條　本法第二條第一項第三款所稱政務人員，指政務人員退職撫卹條例第二條第一項各款所列有給之人員。</w:t>
      </w:r>
    </w:p>
    <w:p w:rsidR="00A55E78" w:rsidRPr="00A55E78" w:rsidRDefault="00A55E78" w:rsidP="00043249">
      <w:pPr>
        <w:pStyle w:val="a3"/>
        <w:spacing w:line="460" w:lineRule="exact"/>
        <w:ind w:left="1078" w:hangingChars="379" w:hanging="106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第三條　本法第二條第一項第四款所稱有給職，指所任職務依規定支領比照政務人員或國軍上將俸給標準之給與者。</w:t>
      </w:r>
    </w:p>
    <w:p w:rsidR="00A55E78" w:rsidRPr="00A55E78" w:rsidRDefault="00A55E78" w:rsidP="00D46A40">
      <w:pPr>
        <w:pStyle w:val="a3"/>
        <w:spacing w:line="460" w:lineRule="exact"/>
        <w:ind w:left="1078" w:hangingChars="379" w:hanging="106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第四條　本法第二條第一項第五款所稱各級政府機關之首長、副首長、幕僚長，指依法規所置之人員。</w:t>
      </w:r>
    </w:p>
    <w:p w:rsidR="00A55E78" w:rsidRPr="00A55E78" w:rsidRDefault="00A55E78" w:rsidP="00D46A40">
      <w:pPr>
        <w:pStyle w:val="3"/>
        <w:spacing w:line="460" w:lineRule="exact"/>
        <w:ind w:leftChars="450" w:left="1080" w:firstLineChars="0" w:firstLine="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本法第二條第一項第五款所稱公營事業機構，指公營事業移轉民營條例第三條各款所列事業機構。</w:t>
      </w:r>
    </w:p>
    <w:p w:rsidR="00A55E78" w:rsidRPr="00A55E78" w:rsidRDefault="00A55E78" w:rsidP="00D46A40">
      <w:pPr>
        <w:spacing w:line="460" w:lineRule="exact"/>
        <w:ind w:leftChars="450" w:left="108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本法第二條第一項第五款所稱職等或相當職等，以職務或職位最高列等為準。</w:t>
      </w:r>
    </w:p>
    <w:p w:rsidR="00A55E78" w:rsidRPr="00A55E78" w:rsidRDefault="005E0A18" w:rsidP="005E0A18">
      <w:pPr>
        <w:pStyle w:val="a3"/>
        <w:tabs>
          <w:tab w:val="clear" w:pos="916"/>
          <w:tab w:val="left" w:pos="360"/>
        </w:tabs>
        <w:spacing w:line="460" w:lineRule="exact"/>
        <w:ind w:leftChars="0" w:left="1078" w:hangingChars="385" w:hanging="107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w:t>
      </w:r>
      <w:r>
        <w:rPr>
          <w:rFonts w:ascii="標楷體" w:eastAsia="標楷體" w:hAnsi="標楷體" w:hint="eastAsia"/>
          <w:color w:val="000000"/>
          <w:sz w:val="28"/>
          <w:szCs w:val="28"/>
        </w:rPr>
        <w:t>五</w:t>
      </w:r>
      <w:r w:rsidRPr="00A55E78">
        <w:rPr>
          <w:rFonts w:ascii="標楷體" w:eastAsia="標楷體" w:hAnsi="標楷體" w:hint="eastAsia"/>
          <w:color w:val="000000"/>
          <w:sz w:val="28"/>
          <w:szCs w:val="28"/>
        </w:rPr>
        <w:t xml:space="preserve">條　</w:t>
      </w:r>
      <w:r w:rsidR="00A55E78" w:rsidRPr="00A55E78">
        <w:rPr>
          <w:rFonts w:ascii="標楷體" w:eastAsia="標楷體" w:hAnsi="標楷體" w:hint="eastAsia"/>
          <w:color w:val="000000"/>
          <w:sz w:val="28"/>
          <w:szCs w:val="28"/>
        </w:rPr>
        <w:t>本法第二條第一項第六款所稱各級公立學校校長、副校長，指公立之國民小學、國民中學、高級中學、職業學校、專科學校、大學及依法設立、附設之公立學校校長、副校長。</w:t>
      </w:r>
    </w:p>
    <w:p w:rsidR="00A55E78" w:rsidRPr="00A55E78" w:rsidRDefault="00A55E78" w:rsidP="005E0A18">
      <w:pPr>
        <w:pStyle w:val="a3"/>
        <w:spacing w:line="460" w:lineRule="exact"/>
        <w:ind w:left="1078" w:hangingChars="379" w:hanging="106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第六條　本法第二條第一項第七款所稱軍事單位，指軍事機關（構）、學校及部隊。</w:t>
      </w:r>
    </w:p>
    <w:p w:rsidR="00A55E78" w:rsidRPr="00A55E78" w:rsidRDefault="00A55E78" w:rsidP="00B5038D">
      <w:pPr>
        <w:spacing w:line="460" w:lineRule="exact"/>
        <w:ind w:left="1078" w:hangingChars="385" w:hanging="107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第七條　本法第二條第一項第十款所稱法官、檢察官，不包括依法停止辦理案件之法官、檢察官。</w:t>
      </w:r>
    </w:p>
    <w:p w:rsidR="00A55E78" w:rsidRPr="00A55E78" w:rsidRDefault="00A55E78" w:rsidP="00E831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078" w:hangingChars="385" w:hanging="1078"/>
        <w:jc w:val="both"/>
        <w:rPr>
          <w:rFonts w:ascii="標楷體" w:eastAsia="標楷體" w:hAnsi="標楷體" w:cs="細明體" w:hint="eastAsia"/>
          <w:color w:val="000000"/>
          <w:kern w:val="0"/>
          <w:sz w:val="28"/>
          <w:szCs w:val="28"/>
        </w:rPr>
      </w:pPr>
      <w:r w:rsidRPr="00A55E78">
        <w:rPr>
          <w:rFonts w:ascii="標楷體" w:eastAsia="標楷體" w:hAnsi="標楷體" w:hint="eastAsia"/>
          <w:color w:val="000000"/>
          <w:sz w:val="28"/>
          <w:szCs w:val="28"/>
        </w:rPr>
        <w:t xml:space="preserve">第八條　</w:t>
      </w:r>
      <w:r w:rsidRPr="00A55E78">
        <w:rPr>
          <w:rFonts w:ascii="標楷體" w:eastAsia="標楷體" w:hAnsi="標楷體" w:cs="細明體"/>
          <w:color w:val="000000"/>
          <w:kern w:val="0"/>
          <w:sz w:val="28"/>
          <w:szCs w:val="28"/>
        </w:rPr>
        <w:t>本法第二條第</w:t>
      </w:r>
      <w:r w:rsidRPr="00A55E78">
        <w:rPr>
          <w:rFonts w:ascii="標楷體" w:eastAsia="標楷體" w:hAnsi="標楷體" w:cs="細明體" w:hint="eastAsia"/>
          <w:color w:val="000000"/>
          <w:kern w:val="0"/>
          <w:sz w:val="28"/>
          <w:szCs w:val="28"/>
        </w:rPr>
        <w:t>三</w:t>
      </w:r>
      <w:r w:rsidRPr="00A55E78">
        <w:rPr>
          <w:rFonts w:ascii="標楷體" w:eastAsia="標楷體" w:hAnsi="標楷體" w:cs="細明體"/>
          <w:color w:val="000000"/>
          <w:kern w:val="0"/>
          <w:sz w:val="28"/>
          <w:szCs w:val="28"/>
        </w:rPr>
        <w:t>項所稱縣(市)級以上公職候選人，指依公職人員選舉罷免法規定申請登記為立法委員、直轄市議員、縣(市)議員、直轄市長、縣(市)長之候選人</w:t>
      </w:r>
      <w:r w:rsidRPr="00A55E78">
        <w:rPr>
          <w:rFonts w:ascii="標楷體" w:eastAsia="標楷體" w:hAnsi="標楷體" w:cs="細明體" w:hint="eastAsia"/>
          <w:color w:val="000000"/>
          <w:kern w:val="0"/>
          <w:sz w:val="28"/>
          <w:szCs w:val="28"/>
        </w:rPr>
        <w:t>。</w:t>
      </w:r>
    </w:p>
    <w:p w:rsidR="00A55E78" w:rsidRPr="00A55E78" w:rsidRDefault="00A55E78" w:rsidP="00E831C7">
      <w:pPr>
        <w:spacing w:line="460" w:lineRule="exact"/>
        <w:ind w:left="1078" w:hangingChars="385" w:hanging="1078"/>
        <w:jc w:val="both"/>
        <w:rPr>
          <w:rFonts w:ascii="標楷體" w:eastAsia="標楷體" w:hAnsi="標楷體" w:cs="細明體" w:hint="eastAsia"/>
          <w:color w:val="000000"/>
          <w:kern w:val="0"/>
          <w:sz w:val="28"/>
          <w:szCs w:val="28"/>
        </w:rPr>
      </w:pPr>
      <w:r w:rsidRPr="00A55E78">
        <w:rPr>
          <w:rFonts w:ascii="標楷體" w:eastAsia="標楷體" w:hAnsi="標楷體" w:hint="eastAsia"/>
          <w:color w:val="000000"/>
          <w:sz w:val="28"/>
          <w:szCs w:val="28"/>
        </w:rPr>
        <w:t xml:space="preserve">第九條　</w:t>
      </w:r>
      <w:r w:rsidRPr="00A55E78">
        <w:rPr>
          <w:rFonts w:ascii="標楷體" w:eastAsia="標楷體" w:hAnsi="標楷體" w:cs="細明體"/>
          <w:color w:val="000000"/>
          <w:kern w:val="0"/>
          <w:sz w:val="28"/>
          <w:szCs w:val="28"/>
        </w:rPr>
        <w:t>公職人員因職務異動致受理申報機關(構)變動者，仍應依</w:t>
      </w:r>
      <w:r w:rsidRPr="00A55E78">
        <w:rPr>
          <w:rFonts w:ascii="標楷體" w:eastAsia="標楷體" w:hAnsi="標楷體" w:cs="細明體" w:hint="eastAsia"/>
          <w:color w:val="000000"/>
          <w:kern w:val="0"/>
          <w:sz w:val="28"/>
          <w:szCs w:val="28"/>
        </w:rPr>
        <w:t>本法第三條</w:t>
      </w:r>
      <w:r w:rsidRPr="00A55E78">
        <w:rPr>
          <w:rFonts w:ascii="標楷體" w:eastAsia="標楷體" w:hAnsi="標楷體" w:cs="細明體"/>
          <w:color w:val="000000"/>
          <w:kern w:val="0"/>
          <w:sz w:val="28"/>
          <w:szCs w:val="28"/>
        </w:rPr>
        <w:t>辦理申報。</w:t>
      </w:r>
    </w:p>
    <w:p w:rsidR="00A55E78" w:rsidRPr="00A55E78" w:rsidRDefault="00A55E78" w:rsidP="00E831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080"/>
        <w:jc w:val="both"/>
        <w:rPr>
          <w:rFonts w:ascii="標楷體" w:eastAsia="標楷體" w:hAnsi="標楷體" w:cs="細明體" w:hint="eastAsia"/>
          <w:color w:val="000000"/>
          <w:kern w:val="0"/>
          <w:sz w:val="28"/>
          <w:szCs w:val="28"/>
        </w:rPr>
      </w:pPr>
      <w:r w:rsidRPr="00A55E78">
        <w:rPr>
          <w:rFonts w:ascii="標楷體" w:eastAsia="標楷體" w:hAnsi="標楷體" w:cs="細明體" w:hint="eastAsia"/>
          <w:color w:val="000000"/>
          <w:kern w:val="0"/>
          <w:sz w:val="28"/>
          <w:szCs w:val="28"/>
        </w:rPr>
        <w:t>本法第二條第一項各款所列公職人員，其職務係兼任者，應申報財產。但兼任未滿三個月者毋庸申報。</w:t>
      </w:r>
    </w:p>
    <w:p w:rsidR="00A55E78" w:rsidRPr="00A55E78" w:rsidRDefault="00A55E78" w:rsidP="00E831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080"/>
        <w:jc w:val="both"/>
        <w:rPr>
          <w:rFonts w:ascii="標楷體" w:eastAsia="標楷體" w:hAnsi="標楷體" w:cs="細明體"/>
          <w:color w:val="000000"/>
          <w:kern w:val="0"/>
          <w:sz w:val="28"/>
          <w:szCs w:val="28"/>
        </w:rPr>
      </w:pPr>
      <w:r w:rsidRPr="00A55E78">
        <w:rPr>
          <w:rFonts w:ascii="標楷體" w:eastAsia="標楷體" w:hAnsi="標楷體" w:cs="細明體"/>
          <w:color w:val="000000"/>
          <w:kern w:val="0"/>
          <w:sz w:val="28"/>
          <w:szCs w:val="28"/>
        </w:rPr>
        <w:lastRenderedPageBreak/>
        <w:t>依本法第二條第一項第十</w:t>
      </w:r>
      <w:r w:rsidRPr="00A55E78">
        <w:rPr>
          <w:rFonts w:ascii="標楷體" w:eastAsia="標楷體" w:hAnsi="標楷體" w:cs="細明體" w:hint="eastAsia"/>
          <w:color w:val="000000"/>
          <w:kern w:val="0"/>
          <w:sz w:val="28"/>
          <w:szCs w:val="28"/>
        </w:rPr>
        <w:t>三</w:t>
      </w:r>
      <w:r w:rsidRPr="00A55E78">
        <w:rPr>
          <w:rFonts w:ascii="標楷體" w:eastAsia="標楷體" w:hAnsi="標楷體" w:cs="細明體"/>
          <w:color w:val="000000"/>
          <w:kern w:val="0"/>
          <w:sz w:val="28"/>
          <w:szCs w:val="28"/>
        </w:rPr>
        <w:t>款</w:t>
      </w:r>
      <w:r w:rsidRPr="00A55E78">
        <w:rPr>
          <w:rFonts w:ascii="標楷體" w:eastAsia="標楷體" w:hAnsi="標楷體" w:cs="細明體" w:hint="eastAsia"/>
          <w:color w:val="000000"/>
          <w:kern w:val="0"/>
          <w:sz w:val="28"/>
          <w:szCs w:val="28"/>
        </w:rPr>
        <w:t>、第二項、第四項及前項</w:t>
      </w:r>
      <w:r w:rsidRPr="00A55E78">
        <w:rPr>
          <w:rFonts w:ascii="標楷體" w:eastAsia="標楷體" w:hAnsi="標楷體" w:cs="細明體"/>
          <w:color w:val="000000"/>
          <w:kern w:val="0"/>
          <w:sz w:val="28"/>
          <w:szCs w:val="28"/>
        </w:rPr>
        <w:t>規定</w:t>
      </w:r>
      <w:r w:rsidRPr="00A55E78">
        <w:rPr>
          <w:rFonts w:ascii="標楷體" w:eastAsia="標楷體" w:hAnsi="標楷體" w:cs="細明體" w:hint="eastAsia"/>
          <w:color w:val="000000"/>
          <w:kern w:val="0"/>
          <w:sz w:val="28"/>
          <w:szCs w:val="28"/>
        </w:rPr>
        <w:t>申報之公職人員</w:t>
      </w:r>
      <w:r w:rsidRPr="00A55E78">
        <w:rPr>
          <w:rFonts w:ascii="標楷體" w:eastAsia="標楷體" w:hAnsi="標楷體" w:cs="細明體"/>
          <w:color w:val="000000"/>
          <w:kern w:val="0"/>
          <w:sz w:val="28"/>
          <w:szCs w:val="28"/>
        </w:rPr>
        <w:t>，應於</w:t>
      </w:r>
      <w:r w:rsidRPr="00A55E78">
        <w:rPr>
          <w:rFonts w:ascii="標楷體" w:eastAsia="標楷體" w:hAnsi="標楷體" w:cs="細明體" w:hint="eastAsia"/>
          <w:color w:val="000000"/>
          <w:kern w:val="0"/>
          <w:sz w:val="28"/>
          <w:szCs w:val="28"/>
        </w:rPr>
        <w:t>申報義務發生後</w:t>
      </w:r>
      <w:r w:rsidRPr="00A55E78">
        <w:rPr>
          <w:rFonts w:ascii="標楷體" w:eastAsia="標楷體" w:hAnsi="標楷體" w:cs="細明體"/>
          <w:color w:val="000000"/>
          <w:kern w:val="0"/>
          <w:sz w:val="28"/>
          <w:szCs w:val="28"/>
        </w:rPr>
        <w:t>三個月內申報。</w:t>
      </w:r>
    </w:p>
    <w:p w:rsidR="00A55E78" w:rsidRPr="00A55E78" w:rsidRDefault="00A55E78" w:rsidP="001F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080"/>
        <w:jc w:val="both"/>
        <w:rPr>
          <w:rFonts w:ascii="標楷體" w:eastAsia="標楷體" w:hAnsi="標楷體" w:cs="細明體" w:hint="eastAsia"/>
          <w:strike/>
          <w:color w:val="000000"/>
          <w:kern w:val="0"/>
          <w:sz w:val="28"/>
          <w:szCs w:val="28"/>
        </w:rPr>
      </w:pPr>
      <w:r w:rsidRPr="00A55E78">
        <w:rPr>
          <w:rFonts w:ascii="標楷體" w:eastAsia="標楷體" w:hAnsi="標楷體" w:cs="細明體"/>
          <w:color w:val="000000"/>
          <w:kern w:val="0"/>
          <w:sz w:val="28"/>
          <w:szCs w:val="28"/>
        </w:rPr>
        <w:t>本法第三條所稱每年定期申報一次之申報期間，指每年</w:t>
      </w:r>
      <w:smartTag w:uri="urn:schemas-microsoft-com:office:smarttags" w:element="chsdate">
        <w:smartTagPr>
          <w:attr w:name="Year" w:val="2008"/>
          <w:attr w:name="Month" w:val="11"/>
          <w:attr w:name="Day" w:val="1"/>
          <w:attr w:name="IsLunarDate" w:val="False"/>
          <w:attr w:name="IsROCDate" w:val="False"/>
        </w:smartTagPr>
        <w:r w:rsidRPr="00A55E78">
          <w:rPr>
            <w:rFonts w:ascii="標楷體" w:eastAsia="標楷體" w:hAnsi="標楷體" w:cs="細明體" w:hint="eastAsia"/>
            <w:color w:val="000000"/>
            <w:kern w:val="0"/>
            <w:sz w:val="28"/>
            <w:szCs w:val="28"/>
          </w:rPr>
          <w:t>十</w:t>
        </w:r>
        <w:r w:rsidRPr="00A55E78">
          <w:rPr>
            <w:rFonts w:ascii="標楷體" w:eastAsia="標楷體" w:hAnsi="標楷體" w:cs="細明體"/>
            <w:color w:val="000000"/>
            <w:kern w:val="0"/>
            <w:sz w:val="28"/>
            <w:szCs w:val="28"/>
          </w:rPr>
          <w:t>一月一日</w:t>
        </w:r>
      </w:smartTag>
      <w:r w:rsidRPr="00A55E78">
        <w:rPr>
          <w:rFonts w:ascii="標楷體" w:eastAsia="標楷體" w:hAnsi="標楷體" w:cs="細明體"/>
          <w:color w:val="000000"/>
          <w:kern w:val="0"/>
          <w:sz w:val="28"/>
          <w:szCs w:val="28"/>
        </w:rPr>
        <w:t>至</w:t>
      </w:r>
      <w:smartTag w:uri="urn:schemas-microsoft-com:office:smarttags" w:element="chsdate">
        <w:smartTagPr>
          <w:attr w:name="Year" w:val="2008"/>
          <w:attr w:name="Month" w:val="12"/>
          <w:attr w:name="Day" w:val="31"/>
          <w:attr w:name="IsLunarDate" w:val="False"/>
          <w:attr w:name="IsROCDate" w:val="False"/>
        </w:smartTagPr>
        <w:r w:rsidRPr="00A55E78">
          <w:rPr>
            <w:rFonts w:ascii="標楷體" w:eastAsia="標楷體" w:hAnsi="標楷體" w:cs="細明體" w:hint="eastAsia"/>
            <w:color w:val="000000"/>
            <w:kern w:val="0"/>
            <w:sz w:val="28"/>
            <w:szCs w:val="28"/>
          </w:rPr>
          <w:t>十二</w:t>
        </w:r>
        <w:r w:rsidRPr="00A55E78">
          <w:rPr>
            <w:rFonts w:ascii="標楷體" w:eastAsia="標楷體" w:hAnsi="標楷體" w:cs="細明體"/>
            <w:color w:val="000000"/>
            <w:kern w:val="0"/>
            <w:sz w:val="28"/>
            <w:szCs w:val="28"/>
          </w:rPr>
          <w:t>月三十一日</w:t>
        </w:r>
      </w:smartTag>
      <w:r w:rsidRPr="00A55E78">
        <w:rPr>
          <w:rFonts w:ascii="標楷體" w:eastAsia="標楷體" w:hAnsi="標楷體" w:cs="細明體"/>
          <w:color w:val="000000"/>
          <w:kern w:val="0"/>
          <w:sz w:val="28"/>
          <w:szCs w:val="28"/>
        </w:rPr>
        <w:t>。</w:t>
      </w:r>
      <w:r w:rsidRPr="00A55E78">
        <w:rPr>
          <w:rFonts w:ascii="標楷體" w:eastAsia="標楷體" w:hAnsi="標楷體" w:cs="細明體" w:hint="eastAsia"/>
          <w:color w:val="000000"/>
          <w:kern w:val="0"/>
          <w:sz w:val="28"/>
          <w:szCs w:val="28"/>
        </w:rPr>
        <w:t>但已依本法第三條第一項規定為就（到）職申報，或依前項規定申報者，則指該次申報日之翌年起每年</w:t>
      </w:r>
      <w:smartTag w:uri="urn:schemas-microsoft-com:office:smarttags" w:element="chsdate">
        <w:smartTagPr>
          <w:attr w:name="Year" w:val="2008"/>
          <w:attr w:name="Month" w:val="11"/>
          <w:attr w:name="Day" w:val="1"/>
          <w:attr w:name="IsLunarDate" w:val="False"/>
          <w:attr w:name="IsROCDate" w:val="False"/>
        </w:smartTagPr>
        <w:r w:rsidRPr="00A55E78">
          <w:rPr>
            <w:rFonts w:ascii="標楷體" w:eastAsia="標楷體" w:hAnsi="標楷體" w:cs="細明體" w:hint="eastAsia"/>
            <w:color w:val="000000"/>
            <w:kern w:val="0"/>
            <w:sz w:val="28"/>
            <w:szCs w:val="28"/>
          </w:rPr>
          <w:t>十一月一日</w:t>
        </w:r>
      </w:smartTag>
      <w:r w:rsidRPr="00A55E78">
        <w:rPr>
          <w:rFonts w:ascii="標楷體" w:eastAsia="標楷體" w:hAnsi="標楷體" w:cs="細明體" w:hint="eastAsia"/>
          <w:color w:val="000000"/>
          <w:kern w:val="0"/>
          <w:sz w:val="28"/>
          <w:szCs w:val="28"/>
        </w:rPr>
        <w:t>至</w:t>
      </w:r>
      <w:smartTag w:uri="urn:schemas-microsoft-com:office:smarttags" w:element="chsdate">
        <w:smartTagPr>
          <w:attr w:name="Year" w:val="2008"/>
          <w:attr w:name="Month" w:val="12"/>
          <w:attr w:name="Day" w:val="31"/>
          <w:attr w:name="IsLunarDate" w:val="False"/>
          <w:attr w:name="IsROCDate" w:val="False"/>
        </w:smartTagPr>
        <w:r w:rsidRPr="00A55E78">
          <w:rPr>
            <w:rFonts w:ascii="標楷體" w:eastAsia="標楷體" w:hAnsi="標楷體" w:cs="細明體" w:hint="eastAsia"/>
            <w:color w:val="000000"/>
            <w:kern w:val="0"/>
            <w:sz w:val="28"/>
            <w:szCs w:val="28"/>
          </w:rPr>
          <w:t>十二月三十一日</w:t>
        </w:r>
      </w:smartTag>
      <w:r w:rsidRPr="00A55E78">
        <w:rPr>
          <w:rFonts w:ascii="標楷體" w:eastAsia="標楷體" w:hAnsi="標楷體" w:cs="細明體" w:hint="eastAsia"/>
          <w:color w:val="000000"/>
          <w:kern w:val="0"/>
          <w:sz w:val="28"/>
          <w:szCs w:val="28"/>
        </w:rPr>
        <w:t>。</w:t>
      </w:r>
    </w:p>
    <w:p w:rsidR="00A55E78" w:rsidRPr="00A55E78" w:rsidRDefault="00A55E78" w:rsidP="001F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080"/>
        <w:jc w:val="both"/>
        <w:rPr>
          <w:rFonts w:ascii="標楷體" w:eastAsia="標楷體" w:hAnsi="標楷體" w:cs="細明體" w:hint="eastAsia"/>
          <w:color w:val="000000"/>
          <w:kern w:val="0"/>
          <w:sz w:val="28"/>
          <w:szCs w:val="28"/>
        </w:rPr>
      </w:pPr>
      <w:r w:rsidRPr="00A55E78">
        <w:rPr>
          <w:rFonts w:ascii="標楷體" w:eastAsia="標楷體" w:hAnsi="標楷體" w:cs="細明體" w:hint="eastAsia"/>
          <w:color w:val="000000"/>
          <w:kern w:val="0"/>
          <w:sz w:val="28"/>
          <w:szCs w:val="28"/>
        </w:rPr>
        <w:t>應依本法第二條第一項第十三款、第二項、第四項、第三條第一項及本條第二項申報財產之公職人員，於法定申報期間喪失申報身分者，前開申報與卸（離）職或解除代理申報得擇一辦理。</w:t>
      </w:r>
    </w:p>
    <w:p w:rsidR="00A55E78" w:rsidRPr="00A55E78" w:rsidRDefault="00A55E78" w:rsidP="001F26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450" w:left="1080"/>
        <w:jc w:val="both"/>
        <w:rPr>
          <w:rFonts w:ascii="標楷體" w:eastAsia="標楷體" w:hAnsi="標楷體" w:cs="細明體" w:hint="eastAsia"/>
          <w:color w:val="000000"/>
          <w:kern w:val="0"/>
          <w:sz w:val="28"/>
          <w:szCs w:val="28"/>
        </w:rPr>
      </w:pPr>
      <w:r w:rsidRPr="00A55E78">
        <w:rPr>
          <w:rFonts w:ascii="標楷體" w:eastAsia="標楷體" w:hAnsi="標楷體" w:cs="細明體" w:hint="eastAsia"/>
          <w:color w:val="000000"/>
          <w:kern w:val="0"/>
          <w:sz w:val="28"/>
          <w:szCs w:val="28"/>
        </w:rPr>
        <w:t>本法第三條第二項所稱卸（離）職當日，指任期屆滿之日或實際離職之日。</w:t>
      </w:r>
    </w:p>
    <w:p w:rsidR="00A55E78" w:rsidRPr="00A55E78" w:rsidRDefault="00A55E78" w:rsidP="001F260F">
      <w:pPr>
        <w:pStyle w:val="a3"/>
        <w:spacing w:line="460" w:lineRule="exact"/>
        <w:ind w:left="1078" w:hangingChars="379" w:hanging="106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第十條</w:t>
      </w:r>
      <w:r w:rsidR="00445B09">
        <w:rPr>
          <w:rFonts w:ascii="標楷體" w:eastAsia="標楷體" w:hAnsi="標楷體" w:hint="eastAsia"/>
          <w:color w:val="000000"/>
          <w:sz w:val="28"/>
          <w:szCs w:val="28"/>
        </w:rPr>
        <w:t xml:space="preserve">  </w:t>
      </w:r>
      <w:r w:rsidRPr="00A55E78">
        <w:rPr>
          <w:rFonts w:ascii="標楷體" w:eastAsia="標楷體" w:hAnsi="標楷體" w:hint="eastAsia"/>
          <w:color w:val="000000"/>
          <w:sz w:val="28"/>
          <w:szCs w:val="28"/>
        </w:rPr>
        <w:t>公職人員具有本法第二條第一項各款所列二種以上身分者，應分別向各該受理申報機關(構)申報。但受理申報機關(構)為同一機關(構)者，得合併以同一申報表申報。</w:t>
      </w:r>
    </w:p>
    <w:p w:rsidR="00A55E78" w:rsidRPr="00A55E78" w:rsidRDefault="00A55E78" w:rsidP="00445B09">
      <w:pPr>
        <w:spacing w:line="460" w:lineRule="exact"/>
        <w:ind w:leftChars="450" w:left="108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夫妻分別具有本法第二條第一項各款公職人員身分者，應依規定各自向各該受理申報機關(構)申報。</w:t>
      </w:r>
    </w:p>
    <w:p w:rsidR="00A55E78" w:rsidRPr="00A55E78" w:rsidRDefault="00A55E78" w:rsidP="00445B09">
      <w:pPr>
        <w:spacing w:line="460" w:lineRule="exact"/>
        <w:ind w:leftChars="450" w:left="1081" w:hanging="1"/>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已依本法規定申報財產之公職人員，登記為縣(市)級以上公職候選人者，仍應於辦理候選人登記時，依本法第二條第三項規定申報財產。</w:t>
      </w:r>
    </w:p>
    <w:p w:rsidR="00A55E78" w:rsidRPr="00A55E78" w:rsidRDefault="00A55E78" w:rsidP="00445B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第十一條　本法第五條第一項各款所列應申報之財產，包括在中華民國境內、境外之全部財產。</w:t>
      </w:r>
    </w:p>
    <w:p w:rsidR="00A55E78" w:rsidRPr="00A55E78" w:rsidRDefault="00A55E78" w:rsidP="00445B09">
      <w:pPr>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 xml:space="preserve">第十二條　</w:t>
      </w:r>
      <w:r w:rsidRPr="00A55E78">
        <w:rPr>
          <w:rFonts w:ascii="標楷體" w:eastAsia="標楷體" w:hAnsi="標楷體"/>
          <w:color w:val="000000"/>
          <w:sz w:val="28"/>
          <w:szCs w:val="28"/>
        </w:rPr>
        <w:t>本法第五條第一項第一款及第七條</w:t>
      </w:r>
      <w:r w:rsidRPr="00A55E78">
        <w:rPr>
          <w:rFonts w:ascii="標楷體" w:eastAsia="標楷體" w:hAnsi="標楷體" w:hint="eastAsia"/>
          <w:color w:val="000000"/>
          <w:sz w:val="28"/>
          <w:szCs w:val="28"/>
        </w:rPr>
        <w:t>第一項第一款、第三項</w:t>
      </w:r>
      <w:r w:rsidRPr="00A55E78">
        <w:rPr>
          <w:rFonts w:ascii="標楷體" w:eastAsia="標楷體" w:hAnsi="標楷體"/>
          <w:color w:val="000000"/>
          <w:sz w:val="28"/>
          <w:szCs w:val="28"/>
        </w:rPr>
        <w:t>所稱不動產，指</w:t>
      </w:r>
      <w:r w:rsidRPr="00A55E78">
        <w:rPr>
          <w:rFonts w:ascii="標楷體" w:eastAsia="標楷體" w:hAnsi="標楷體" w:hint="eastAsia"/>
          <w:color w:val="000000"/>
          <w:sz w:val="28"/>
          <w:szCs w:val="28"/>
        </w:rPr>
        <w:t>具所有權狀或稅籍資料之</w:t>
      </w:r>
      <w:r w:rsidRPr="00A55E78">
        <w:rPr>
          <w:rFonts w:ascii="標楷體" w:eastAsia="標楷體" w:hAnsi="標楷體"/>
          <w:color w:val="000000"/>
          <w:sz w:val="28"/>
          <w:szCs w:val="28"/>
        </w:rPr>
        <w:t>土地</w:t>
      </w:r>
      <w:r w:rsidRPr="00A55E78">
        <w:rPr>
          <w:rFonts w:ascii="標楷體" w:eastAsia="標楷體" w:hAnsi="標楷體" w:hint="eastAsia"/>
          <w:color w:val="000000"/>
          <w:sz w:val="28"/>
          <w:szCs w:val="28"/>
        </w:rPr>
        <w:t>及建物</w:t>
      </w:r>
      <w:r w:rsidRPr="00A55E78">
        <w:rPr>
          <w:rFonts w:ascii="標楷體" w:eastAsia="標楷體" w:hAnsi="標楷體"/>
          <w:color w:val="000000"/>
          <w:sz w:val="28"/>
          <w:szCs w:val="28"/>
        </w:rPr>
        <w:t>。</w:t>
      </w:r>
    </w:p>
    <w:p w:rsidR="00A55E78" w:rsidRPr="00A55E78" w:rsidRDefault="00A55E78" w:rsidP="00001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第十三條　本法第五條第一項第三款所稱債權，指對他人有請求給付金錢之權利；所稱債務，指應償還他人金錢之義務；所稱對各種事業之投資，指對未發行股票或其他有價證券之各種公司、合夥、獨資等事業之投資。</w:t>
      </w:r>
    </w:p>
    <w:p w:rsidR="00A55E78" w:rsidRPr="00A55E78" w:rsidRDefault="00A55E78" w:rsidP="00AE2F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color w:val="000000"/>
          <w:sz w:val="28"/>
          <w:szCs w:val="28"/>
        </w:rPr>
      </w:pPr>
      <w:r w:rsidRPr="00A55E78">
        <w:rPr>
          <w:rFonts w:ascii="標楷體" w:eastAsia="標楷體" w:hAnsi="標楷體" w:hint="eastAsia"/>
          <w:color w:val="000000"/>
          <w:sz w:val="28"/>
          <w:szCs w:val="28"/>
        </w:rPr>
        <w:t>第十四條　本法第五條第一項第二款及第三款之一定金額，依下列規定：</w:t>
      </w:r>
      <w:r w:rsidR="00AE2FE8" w:rsidRPr="00A55E78">
        <w:rPr>
          <w:rFonts w:ascii="標楷體" w:eastAsia="標楷體" w:hAnsi="標楷體"/>
          <w:color w:val="000000"/>
          <w:sz w:val="28"/>
          <w:szCs w:val="28"/>
        </w:rPr>
        <w:t xml:space="preserve"> </w:t>
      </w:r>
    </w:p>
    <w:p w:rsidR="00A55E78" w:rsidRPr="00A55E78" w:rsidRDefault="00A55E78" w:rsidP="00AE2FE8">
      <w:pPr>
        <w:pStyle w:val="HTML"/>
        <w:tabs>
          <w:tab w:val="clear" w:pos="916"/>
          <w:tab w:val="left" w:pos="180"/>
        </w:tabs>
        <w:spacing w:line="460" w:lineRule="exact"/>
        <w:ind w:leftChars="599" w:left="1978" w:hangingChars="193" w:hanging="540"/>
        <w:jc w:val="both"/>
        <w:rPr>
          <w:rFonts w:ascii="標楷體" w:eastAsia="標楷體" w:hAnsi="標楷體"/>
          <w:color w:val="000000"/>
          <w:sz w:val="28"/>
          <w:szCs w:val="28"/>
        </w:rPr>
      </w:pPr>
      <w:r w:rsidRPr="00A55E78">
        <w:rPr>
          <w:rFonts w:ascii="標楷體" w:eastAsia="標楷體" w:hAnsi="標楷體"/>
          <w:color w:val="000000"/>
          <w:sz w:val="28"/>
          <w:szCs w:val="28"/>
        </w:rPr>
        <w:lastRenderedPageBreak/>
        <w:t>一、現金、存款、有價證券、債權、債務及對各種事業之投資，每類之總額為新臺幣一百萬元。</w:t>
      </w:r>
    </w:p>
    <w:p w:rsidR="00A55E78" w:rsidRPr="00A55E78" w:rsidRDefault="00A55E78" w:rsidP="00AE2FE8">
      <w:pPr>
        <w:pStyle w:val="HTML"/>
        <w:spacing w:line="460" w:lineRule="exact"/>
        <w:ind w:leftChars="599" w:left="1978" w:hangingChars="193" w:hanging="540"/>
        <w:jc w:val="both"/>
        <w:rPr>
          <w:rFonts w:ascii="標楷體" w:eastAsia="標楷體" w:hAnsi="標楷體"/>
          <w:color w:val="000000"/>
          <w:sz w:val="28"/>
          <w:szCs w:val="28"/>
        </w:rPr>
      </w:pPr>
      <w:r w:rsidRPr="00A55E78">
        <w:rPr>
          <w:rFonts w:ascii="標楷體" w:eastAsia="標楷體" w:hAnsi="標楷體"/>
          <w:color w:val="000000"/>
          <w:sz w:val="28"/>
          <w:szCs w:val="28"/>
        </w:rPr>
        <w:t>二、珠寶、古董、字畫及其他具有相當價值之財產，每項 (件) 價額為新臺幣二十萬元。</w:t>
      </w:r>
    </w:p>
    <w:p w:rsidR="00A55E78" w:rsidRPr="00A55E78" w:rsidRDefault="00A55E78" w:rsidP="002B5771">
      <w:pPr>
        <w:pStyle w:val="HTML"/>
        <w:spacing w:line="460" w:lineRule="exact"/>
        <w:ind w:leftChars="599" w:left="1440" w:hanging="2"/>
        <w:jc w:val="both"/>
        <w:rPr>
          <w:rFonts w:ascii="標楷體" w:eastAsia="標楷體" w:hAnsi="標楷體"/>
          <w:color w:val="000000"/>
          <w:sz w:val="28"/>
          <w:szCs w:val="28"/>
        </w:rPr>
      </w:pPr>
      <w:r w:rsidRPr="00A55E78">
        <w:rPr>
          <w:rFonts w:ascii="標楷體" w:eastAsia="標楷體" w:hAnsi="標楷體"/>
          <w:color w:val="000000"/>
          <w:sz w:val="28"/>
          <w:szCs w:val="28"/>
        </w:rPr>
        <w:t>公職人員之配偶及未成年子女依本法第五條第二項規定應一併申報之財產，其一定金額，應各別依前項規定分開計算。</w:t>
      </w:r>
    </w:p>
    <w:p w:rsidR="00A55E78" w:rsidRPr="00A55E78" w:rsidRDefault="00A55E78" w:rsidP="002B5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600" w:left="1440"/>
        <w:jc w:val="both"/>
        <w:rPr>
          <w:rFonts w:ascii="標楷體" w:eastAsia="標楷體" w:hAnsi="標楷體"/>
          <w:color w:val="000000"/>
          <w:sz w:val="28"/>
          <w:szCs w:val="28"/>
        </w:rPr>
      </w:pPr>
      <w:r w:rsidRPr="00A55E78">
        <w:rPr>
          <w:rFonts w:ascii="標楷體" w:eastAsia="標楷體" w:hAnsi="標楷體" w:hint="eastAsia"/>
          <w:color w:val="000000"/>
          <w:sz w:val="28"/>
          <w:szCs w:val="28"/>
        </w:rPr>
        <w:t>外幣</w:t>
      </w:r>
      <w:r w:rsidRPr="00A55E78">
        <w:rPr>
          <w:rFonts w:ascii="標楷體" w:eastAsia="標楷體" w:hAnsi="標楷體"/>
          <w:color w:val="000000"/>
          <w:sz w:val="28"/>
          <w:szCs w:val="28"/>
        </w:rPr>
        <w:t>(匯)須折合新臺幣時，以申報日之收盤匯率計算</w:t>
      </w:r>
      <w:r w:rsidRPr="00A55E78">
        <w:rPr>
          <w:rFonts w:ascii="標楷體" w:eastAsia="標楷體" w:hAnsi="標楷體" w:hint="eastAsia"/>
          <w:color w:val="000000"/>
          <w:sz w:val="28"/>
          <w:szCs w:val="28"/>
        </w:rPr>
        <w:t>；有價證券之價額，以其票面價額計算，無票面價額者，以申報日之收盤價、成交價、單位淨值或原交易價額計算；珠寶、古董、字畫及其他具有相當價值財產之價額，有掛牌之市價者，以申報日掛牌市價計算，無市價者，以已知該項財產之交易價額計算。</w:t>
      </w:r>
    </w:p>
    <w:p w:rsidR="00A55E78" w:rsidRPr="00A55E78" w:rsidRDefault="00A55E78" w:rsidP="002B5771">
      <w:pPr>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 xml:space="preserve">第十五條  </w:t>
      </w:r>
      <w:r w:rsidRPr="00A55E78">
        <w:rPr>
          <w:rFonts w:ascii="標楷體" w:eastAsia="標楷體" w:hAnsi="標楷體"/>
          <w:color w:val="000000"/>
          <w:sz w:val="28"/>
          <w:szCs w:val="28"/>
        </w:rPr>
        <w:t>本法第五條第</w:t>
      </w:r>
      <w:r w:rsidRPr="00A55E78">
        <w:rPr>
          <w:rFonts w:ascii="標楷體" w:eastAsia="標楷體" w:hAnsi="標楷體" w:hint="eastAsia"/>
          <w:color w:val="000000"/>
          <w:sz w:val="28"/>
          <w:szCs w:val="28"/>
        </w:rPr>
        <w:t>三</w:t>
      </w:r>
      <w:r w:rsidRPr="00A55E78">
        <w:rPr>
          <w:rFonts w:ascii="標楷體" w:eastAsia="標楷體" w:hAnsi="標楷體"/>
          <w:color w:val="000000"/>
          <w:sz w:val="28"/>
          <w:szCs w:val="28"/>
        </w:rPr>
        <w:t>項</w:t>
      </w:r>
      <w:r w:rsidRPr="00A55E78">
        <w:rPr>
          <w:rFonts w:ascii="標楷體" w:eastAsia="標楷體" w:hAnsi="標楷體" w:hint="eastAsia"/>
          <w:color w:val="000000"/>
          <w:sz w:val="28"/>
          <w:szCs w:val="28"/>
        </w:rPr>
        <w:t>前段所定取得或發生之時間及原因，以登記機關（構）登記資料之登記日期及登記原因為準；未登記者以事實發生之時間及原因為準。</w:t>
      </w:r>
    </w:p>
    <w:p w:rsidR="00A55E78" w:rsidRPr="00A55E78" w:rsidRDefault="00A55E78" w:rsidP="002B5771">
      <w:pPr>
        <w:spacing w:line="460" w:lineRule="exact"/>
        <w:ind w:leftChars="599" w:left="1440" w:hanging="2"/>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本法第五條第三項後段所定應申報其取得價額，於申報日前五年內取得者，公職人員應申報實際交易價額或原始製造價額；無實際交易價額或原始製造價額者，以取得年度之土地公告現值、房屋課稅現值或市價為準。</w:t>
      </w:r>
    </w:p>
    <w:p w:rsidR="00A55E78" w:rsidRPr="00A55E78" w:rsidRDefault="00A55E78" w:rsidP="002B57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第十六條　本法第六條第二項所定公職人員之申報資料，受理申報機關應於完成審核後三個月內，送登政府公報並上網公告。</w:t>
      </w:r>
    </w:p>
    <w:p w:rsidR="00A55E78" w:rsidRPr="00A55E78" w:rsidRDefault="00A55E78" w:rsidP="003E7A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第十七條　本法第七條第二項所稱公職人員因職務關係對同條第一項所列財產具有特殊利害關係者，指公職人員就其主管或監督之事務，對不動產或國內上市及上櫃股票之交易秩序或價格變動有相當影響力者。</w:t>
      </w:r>
    </w:p>
    <w:p w:rsidR="00A55E78" w:rsidRPr="00A55E78" w:rsidRDefault="00A55E78" w:rsidP="006E5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第十八條　本法第七條第一項所列應辦理信託之財產，應依信託法為信託登記。</w:t>
      </w:r>
    </w:p>
    <w:p w:rsidR="00A55E78" w:rsidRPr="00A55E78" w:rsidRDefault="00A55E78" w:rsidP="006E5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9" w:left="1440" w:hanging="2"/>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前項信託辦理完竣後，公職人員應填具公職人員信託財產申報表，提出於各該公職人員之受理申報機關 (構)，並檢附下列文件：</w:t>
      </w:r>
    </w:p>
    <w:p w:rsidR="00A55E78" w:rsidRPr="00A55E78" w:rsidRDefault="00A55E78" w:rsidP="006E5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333" w:left="799" w:firstLineChars="228" w:firstLine="63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lastRenderedPageBreak/>
        <w:t>一、信託契約及其附件影本。</w:t>
      </w:r>
    </w:p>
    <w:p w:rsidR="00A55E78" w:rsidRPr="00A55E78" w:rsidRDefault="00A55E78" w:rsidP="006E5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9" w:left="1978" w:hangingChars="193" w:hanging="54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二、信託財產為不動產者，辦妥前項信託登記之登記簿謄本。</w:t>
      </w:r>
    </w:p>
    <w:p w:rsidR="00A55E78" w:rsidRPr="00A55E78" w:rsidRDefault="00A55E78" w:rsidP="006E56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9" w:left="1978" w:hangingChars="193" w:hanging="54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三、信託財產為國內之上市及上櫃股票者，由發行公司或其股務代理機構出具之辦妥前項信託記載證明文件。</w:t>
      </w:r>
    </w:p>
    <w:p w:rsidR="00A55E78" w:rsidRPr="00A55E78" w:rsidRDefault="00A55E78" w:rsidP="006E563F">
      <w:pPr>
        <w:widowContro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600" w:left="144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財產信託後其受託人變更或其他信託契約內容變更者，應於一個月內檢附相關文件，將變更情形通知受理申報機關（構）。</w:t>
      </w:r>
    </w:p>
    <w:p w:rsidR="00A55E78" w:rsidRPr="00A55E78" w:rsidRDefault="00A55E78" w:rsidP="009A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第十九條　本法第八條所稱變動申報，指於定期申報時，將本法第七條第一項所列財產之變動情形，含變動之時間、原因及變動時之價額，填具公職人員變動財產申報表，提出於各該公職人員之受理申報機關（構）。</w:t>
      </w:r>
    </w:p>
    <w:p w:rsidR="00A55E78" w:rsidRPr="00A55E78" w:rsidRDefault="00A55E78" w:rsidP="009A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599" w:left="1441" w:hangingChars="1" w:hanging="3"/>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前項所稱財產之變動情形，指在前次申報日迄本次申報日止，所有本法第七條第一項所列財產變動之情形。</w:t>
      </w:r>
    </w:p>
    <w:p w:rsidR="00A55E78" w:rsidRPr="00A55E78" w:rsidRDefault="00A55E78" w:rsidP="009A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439" w:hangingChars="514" w:hanging="1439"/>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第二十條  本法第九條第三項所定應事前或同時通知該管受理申報機關（構），應以書面通知為之。</w:t>
      </w:r>
    </w:p>
    <w:p w:rsidR="00A55E78" w:rsidRPr="00A55E78" w:rsidRDefault="00A55E78" w:rsidP="009A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98" w:hangingChars="642" w:hanging="179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 xml:space="preserve">第二十一條　</w:t>
      </w:r>
      <w:r w:rsidRPr="00A55E78">
        <w:rPr>
          <w:rFonts w:ascii="標楷體" w:eastAsia="標楷體" w:hAnsi="標楷體"/>
          <w:color w:val="000000"/>
          <w:sz w:val="28"/>
          <w:szCs w:val="28"/>
        </w:rPr>
        <w:t>本法第十</w:t>
      </w:r>
      <w:r w:rsidRPr="00A55E78">
        <w:rPr>
          <w:rFonts w:ascii="標楷體" w:eastAsia="標楷體" w:hAnsi="標楷體" w:hint="eastAsia"/>
          <w:color w:val="000000"/>
          <w:sz w:val="28"/>
          <w:szCs w:val="28"/>
        </w:rPr>
        <w:t>二</w:t>
      </w:r>
      <w:r w:rsidRPr="00A55E78">
        <w:rPr>
          <w:rFonts w:ascii="標楷體" w:eastAsia="標楷體" w:hAnsi="標楷體"/>
          <w:color w:val="000000"/>
          <w:sz w:val="28"/>
          <w:szCs w:val="28"/>
        </w:rPr>
        <w:t>條</w:t>
      </w:r>
      <w:r w:rsidRPr="00A55E78">
        <w:rPr>
          <w:rFonts w:ascii="標楷體" w:eastAsia="標楷體" w:hAnsi="標楷體" w:hint="eastAsia"/>
          <w:color w:val="000000"/>
          <w:sz w:val="28"/>
          <w:szCs w:val="28"/>
        </w:rPr>
        <w:t>第二項所謂全年薪資所得，</w:t>
      </w:r>
      <w:r w:rsidRPr="00A55E78">
        <w:rPr>
          <w:rFonts w:ascii="標楷體" w:eastAsia="標楷體" w:hAnsi="標楷體"/>
          <w:color w:val="000000"/>
          <w:sz w:val="28"/>
          <w:szCs w:val="28"/>
        </w:rPr>
        <w:t>指</w:t>
      </w:r>
      <w:r w:rsidRPr="00A55E78">
        <w:rPr>
          <w:rFonts w:ascii="標楷體" w:eastAsia="標楷體" w:hAnsi="標楷體" w:cs="Arial"/>
          <w:color w:val="000000"/>
          <w:kern w:val="0"/>
          <w:sz w:val="28"/>
          <w:szCs w:val="28"/>
        </w:rPr>
        <w:t>在職務上或工作上所取得</w:t>
      </w:r>
      <w:r w:rsidRPr="00A55E78">
        <w:rPr>
          <w:rFonts w:ascii="標楷體" w:eastAsia="標楷體" w:hAnsi="標楷體" w:cs="Arial" w:hint="eastAsia"/>
          <w:color w:val="000000"/>
          <w:kern w:val="0"/>
          <w:sz w:val="28"/>
          <w:szCs w:val="28"/>
        </w:rPr>
        <w:t>之</w:t>
      </w:r>
      <w:r w:rsidRPr="00A55E78">
        <w:rPr>
          <w:rFonts w:ascii="標楷體" w:eastAsia="標楷體" w:hAnsi="標楷體" w:cs="Arial"/>
          <w:color w:val="000000"/>
          <w:kern w:val="0"/>
          <w:sz w:val="28"/>
          <w:szCs w:val="28"/>
        </w:rPr>
        <w:t>薪金、 俸給、工資、津貼、歲費、獎金、紅利及補助費</w:t>
      </w:r>
      <w:r w:rsidRPr="00A55E78">
        <w:rPr>
          <w:rFonts w:ascii="標楷體" w:eastAsia="標楷體" w:hAnsi="標楷體" w:cs="Arial" w:hint="eastAsia"/>
          <w:color w:val="000000"/>
          <w:kern w:val="0"/>
          <w:sz w:val="28"/>
          <w:szCs w:val="28"/>
        </w:rPr>
        <w:t>等</w:t>
      </w:r>
      <w:r w:rsidRPr="00A55E78">
        <w:rPr>
          <w:rFonts w:ascii="標楷體" w:eastAsia="標楷體" w:hAnsi="標楷體" w:cs="Arial"/>
          <w:color w:val="000000"/>
          <w:kern w:val="0"/>
          <w:sz w:val="28"/>
          <w:szCs w:val="28"/>
        </w:rPr>
        <w:t>各種薪資收入。</w:t>
      </w:r>
    </w:p>
    <w:p w:rsidR="00A55E78" w:rsidRPr="00A55E78" w:rsidRDefault="00A55E78" w:rsidP="009A32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1798" w:hangingChars="642" w:hanging="179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第二十二條　公職人員服務機關</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構</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或代表政府或公股出任私法人董事及監察人之指派機關（構），於各該人員就</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到</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職、代理、兼任、卸（離）職或解除代理後，應即將其原因及時間，通知該管受理申報機關</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構</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w:t>
      </w:r>
    </w:p>
    <w:p w:rsidR="00A55E78" w:rsidRPr="00A55E78" w:rsidRDefault="00A55E78" w:rsidP="009A323E">
      <w:pPr>
        <w:spacing w:line="460" w:lineRule="exact"/>
        <w:ind w:left="1798" w:hangingChars="642" w:hanging="179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第二十三條　公職人員因職務或職等異動致受理申報機關</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構</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變動者，原受理申報機關</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構</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應將原申報資料送交新受理申報機關</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構</w:t>
      </w:r>
      <w:r w:rsidRPr="00A55E78">
        <w:rPr>
          <w:rFonts w:ascii="標楷體" w:eastAsia="標楷體" w:hAnsi="標楷體"/>
          <w:color w:val="000000"/>
          <w:sz w:val="28"/>
          <w:szCs w:val="28"/>
        </w:rPr>
        <w:t>)</w:t>
      </w:r>
      <w:r w:rsidRPr="00A55E78">
        <w:rPr>
          <w:rFonts w:ascii="標楷體" w:eastAsia="標楷體" w:hAnsi="標楷體" w:hint="eastAsia"/>
          <w:color w:val="000000"/>
          <w:sz w:val="28"/>
          <w:szCs w:val="28"/>
        </w:rPr>
        <w:t>。</w:t>
      </w:r>
    </w:p>
    <w:p w:rsidR="00A55E78" w:rsidRPr="00A55E78" w:rsidRDefault="00A55E78" w:rsidP="00E651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ind w:leftChars="1" w:left="1800" w:hangingChars="642" w:hanging="1798"/>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第二十四條　本法第二條第三項所定公職候選人資格經該管選舉委員會審定不符規定者，其申報資料之處理準用本法第十六條之規定。</w:t>
      </w:r>
    </w:p>
    <w:p w:rsidR="00A55E78" w:rsidRPr="00A55E78" w:rsidRDefault="00A55E78" w:rsidP="00A55E78">
      <w:pPr>
        <w:spacing w:line="460" w:lineRule="exact"/>
        <w:ind w:left="280" w:hangingChars="100" w:hanging="280"/>
        <w:jc w:val="both"/>
        <w:rPr>
          <w:rFonts w:ascii="標楷體" w:eastAsia="標楷體" w:hAnsi="標楷體" w:hint="eastAsia"/>
          <w:color w:val="000000"/>
          <w:sz w:val="28"/>
          <w:szCs w:val="28"/>
        </w:rPr>
      </w:pPr>
      <w:r w:rsidRPr="00A55E78">
        <w:rPr>
          <w:rFonts w:ascii="標楷體" w:eastAsia="標楷體" w:hAnsi="標楷體" w:hint="eastAsia"/>
          <w:color w:val="000000"/>
          <w:sz w:val="28"/>
          <w:szCs w:val="28"/>
        </w:rPr>
        <w:t>第二十五條　本細則自本法施行之日施行。</w:t>
      </w:r>
    </w:p>
    <w:p w:rsidR="00721212" w:rsidRPr="00A55E78" w:rsidRDefault="00721212" w:rsidP="00A55E78">
      <w:pPr>
        <w:spacing w:line="460" w:lineRule="exact"/>
        <w:rPr>
          <w:rFonts w:ascii="標楷體" w:eastAsia="標楷體" w:hAnsi="標楷體"/>
          <w:sz w:val="28"/>
          <w:szCs w:val="28"/>
        </w:rPr>
      </w:pPr>
    </w:p>
    <w:sectPr w:rsidR="00721212" w:rsidRPr="00A55E78" w:rsidSect="006F65FC">
      <w:pgSz w:w="11906" w:h="16838"/>
      <w:pgMar w:top="1134" w:right="1797" w:bottom="1134" w:left="179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A46C4"/>
    <w:multiLevelType w:val="hybridMultilevel"/>
    <w:tmpl w:val="79203B6A"/>
    <w:lvl w:ilvl="0" w:tplc="36D297BC">
      <w:start w:val="5"/>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6EA2315"/>
    <w:multiLevelType w:val="hybridMultilevel"/>
    <w:tmpl w:val="4E64A312"/>
    <w:lvl w:ilvl="0" w:tplc="671AB340">
      <w:start w:val="5"/>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9076CDD"/>
    <w:multiLevelType w:val="hybridMultilevel"/>
    <w:tmpl w:val="A48AC906"/>
    <w:lvl w:ilvl="0" w:tplc="941C9820">
      <w:start w:val="5"/>
      <w:numFmt w:val="taiwaneseCountingThousand"/>
      <w:lvlText w:val="第%1條"/>
      <w:lvlJc w:val="left"/>
      <w:pPr>
        <w:tabs>
          <w:tab w:val="num" w:pos="737"/>
        </w:tabs>
        <w:ind w:left="737" w:hanging="720"/>
      </w:pPr>
      <w:rPr>
        <w:rFonts w:hint="default"/>
        <w:color w:val="auto"/>
      </w:rPr>
    </w:lvl>
    <w:lvl w:ilvl="1" w:tplc="7F56744E">
      <w:start w:val="1"/>
      <w:numFmt w:val="taiwaneseCountingThousand"/>
      <w:lvlText w:val="%2、"/>
      <w:lvlJc w:val="left"/>
      <w:pPr>
        <w:tabs>
          <w:tab w:val="num" w:pos="977"/>
        </w:tabs>
        <w:ind w:left="977" w:hanging="480"/>
      </w:pPr>
      <w:rPr>
        <w:rFonts w:hint="default"/>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78"/>
    <w:rsid w:val="000017CE"/>
    <w:rsid w:val="0003405F"/>
    <w:rsid w:val="00034FD3"/>
    <w:rsid w:val="00043249"/>
    <w:rsid w:val="00047B08"/>
    <w:rsid w:val="0005063A"/>
    <w:rsid w:val="0006290C"/>
    <w:rsid w:val="000750EF"/>
    <w:rsid w:val="000865A3"/>
    <w:rsid w:val="000B0212"/>
    <w:rsid w:val="00156061"/>
    <w:rsid w:val="001839F2"/>
    <w:rsid w:val="00183F84"/>
    <w:rsid w:val="001916AF"/>
    <w:rsid w:val="001A093A"/>
    <w:rsid w:val="001B2684"/>
    <w:rsid w:val="001C3797"/>
    <w:rsid w:val="001D4877"/>
    <w:rsid w:val="001D5D78"/>
    <w:rsid w:val="001F260F"/>
    <w:rsid w:val="002040FC"/>
    <w:rsid w:val="00212965"/>
    <w:rsid w:val="002338FB"/>
    <w:rsid w:val="00240A1A"/>
    <w:rsid w:val="00246108"/>
    <w:rsid w:val="002536B8"/>
    <w:rsid w:val="002717A3"/>
    <w:rsid w:val="002B5771"/>
    <w:rsid w:val="002C46DD"/>
    <w:rsid w:val="002C7705"/>
    <w:rsid w:val="002D1BD8"/>
    <w:rsid w:val="002D233D"/>
    <w:rsid w:val="002F26AA"/>
    <w:rsid w:val="002F6000"/>
    <w:rsid w:val="00335176"/>
    <w:rsid w:val="00337C6D"/>
    <w:rsid w:val="00343FAD"/>
    <w:rsid w:val="003442BB"/>
    <w:rsid w:val="003514FE"/>
    <w:rsid w:val="00372CC6"/>
    <w:rsid w:val="00374FA1"/>
    <w:rsid w:val="003907CC"/>
    <w:rsid w:val="003A03F1"/>
    <w:rsid w:val="003E7AB1"/>
    <w:rsid w:val="003F3728"/>
    <w:rsid w:val="003F7602"/>
    <w:rsid w:val="004228FB"/>
    <w:rsid w:val="00424BA4"/>
    <w:rsid w:val="00427FDD"/>
    <w:rsid w:val="00435AD8"/>
    <w:rsid w:val="00445B09"/>
    <w:rsid w:val="00455EB6"/>
    <w:rsid w:val="004630FA"/>
    <w:rsid w:val="00473168"/>
    <w:rsid w:val="00487B2A"/>
    <w:rsid w:val="004A0BA6"/>
    <w:rsid w:val="004B44A1"/>
    <w:rsid w:val="004D2212"/>
    <w:rsid w:val="004E2B0E"/>
    <w:rsid w:val="004E30C7"/>
    <w:rsid w:val="004F1389"/>
    <w:rsid w:val="004F3CEB"/>
    <w:rsid w:val="004F5989"/>
    <w:rsid w:val="00527CFF"/>
    <w:rsid w:val="00547AFD"/>
    <w:rsid w:val="005735A9"/>
    <w:rsid w:val="005B4A28"/>
    <w:rsid w:val="005C3D6E"/>
    <w:rsid w:val="005D729A"/>
    <w:rsid w:val="005E0A18"/>
    <w:rsid w:val="005E23A3"/>
    <w:rsid w:val="005F0DF9"/>
    <w:rsid w:val="006275A4"/>
    <w:rsid w:val="00633F04"/>
    <w:rsid w:val="00674DE9"/>
    <w:rsid w:val="00680D29"/>
    <w:rsid w:val="006A5D03"/>
    <w:rsid w:val="006D540C"/>
    <w:rsid w:val="006E563F"/>
    <w:rsid w:val="006F563B"/>
    <w:rsid w:val="006F65FC"/>
    <w:rsid w:val="00721212"/>
    <w:rsid w:val="007367D7"/>
    <w:rsid w:val="00785DCB"/>
    <w:rsid w:val="007A4722"/>
    <w:rsid w:val="00801934"/>
    <w:rsid w:val="0082664D"/>
    <w:rsid w:val="008405A4"/>
    <w:rsid w:val="008506ED"/>
    <w:rsid w:val="008509C4"/>
    <w:rsid w:val="00857B21"/>
    <w:rsid w:val="008B3CF8"/>
    <w:rsid w:val="008C7305"/>
    <w:rsid w:val="008F3DA8"/>
    <w:rsid w:val="008F644F"/>
    <w:rsid w:val="00921FC4"/>
    <w:rsid w:val="00924419"/>
    <w:rsid w:val="009272A4"/>
    <w:rsid w:val="00930B54"/>
    <w:rsid w:val="00956354"/>
    <w:rsid w:val="0096360E"/>
    <w:rsid w:val="0099174C"/>
    <w:rsid w:val="009974C8"/>
    <w:rsid w:val="009A323E"/>
    <w:rsid w:val="009D53A2"/>
    <w:rsid w:val="009F1E35"/>
    <w:rsid w:val="009F47E9"/>
    <w:rsid w:val="009F623A"/>
    <w:rsid w:val="009F7906"/>
    <w:rsid w:val="00A0624D"/>
    <w:rsid w:val="00A06462"/>
    <w:rsid w:val="00A20B3A"/>
    <w:rsid w:val="00A23481"/>
    <w:rsid w:val="00A367CC"/>
    <w:rsid w:val="00A44203"/>
    <w:rsid w:val="00A55E78"/>
    <w:rsid w:val="00A7359B"/>
    <w:rsid w:val="00A83F35"/>
    <w:rsid w:val="00A87190"/>
    <w:rsid w:val="00AA656E"/>
    <w:rsid w:val="00AC099F"/>
    <w:rsid w:val="00AD2049"/>
    <w:rsid w:val="00AE1A86"/>
    <w:rsid w:val="00AE2FE8"/>
    <w:rsid w:val="00AF27A9"/>
    <w:rsid w:val="00B12093"/>
    <w:rsid w:val="00B16A39"/>
    <w:rsid w:val="00B34EEF"/>
    <w:rsid w:val="00B43663"/>
    <w:rsid w:val="00B455BF"/>
    <w:rsid w:val="00B5038D"/>
    <w:rsid w:val="00B503A7"/>
    <w:rsid w:val="00BA0685"/>
    <w:rsid w:val="00BB4ADA"/>
    <w:rsid w:val="00BB7F68"/>
    <w:rsid w:val="00BC1A79"/>
    <w:rsid w:val="00BE2661"/>
    <w:rsid w:val="00C121CF"/>
    <w:rsid w:val="00C230BC"/>
    <w:rsid w:val="00C35226"/>
    <w:rsid w:val="00C40AF5"/>
    <w:rsid w:val="00C450AC"/>
    <w:rsid w:val="00C60A4A"/>
    <w:rsid w:val="00C62A39"/>
    <w:rsid w:val="00C75131"/>
    <w:rsid w:val="00CA4CF3"/>
    <w:rsid w:val="00CB541A"/>
    <w:rsid w:val="00CE179E"/>
    <w:rsid w:val="00D1038F"/>
    <w:rsid w:val="00D269B0"/>
    <w:rsid w:val="00D30CB9"/>
    <w:rsid w:val="00D46A40"/>
    <w:rsid w:val="00DA00CA"/>
    <w:rsid w:val="00DC4026"/>
    <w:rsid w:val="00DD2462"/>
    <w:rsid w:val="00E00F75"/>
    <w:rsid w:val="00E03CE2"/>
    <w:rsid w:val="00E1168E"/>
    <w:rsid w:val="00E2037E"/>
    <w:rsid w:val="00E5006B"/>
    <w:rsid w:val="00E642EE"/>
    <w:rsid w:val="00E64AF0"/>
    <w:rsid w:val="00E6518D"/>
    <w:rsid w:val="00E831C7"/>
    <w:rsid w:val="00E85A70"/>
    <w:rsid w:val="00EF5DE0"/>
    <w:rsid w:val="00F313A8"/>
    <w:rsid w:val="00F553B4"/>
    <w:rsid w:val="00F62EF8"/>
    <w:rsid w:val="00F71BD3"/>
    <w:rsid w:val="00F76975"/>
    <w:rsid w:val="00F95085"/>
    <w:rsid w:val="00FA066B"/>
    <w:rsid w:val="00FF10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4F1160AC-B8D2-4AA8-B0B9-13896D6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E78"/>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Web">
    <w:name w:val="Normal (Web)"/>
    <w:basedOn w:val="a"/>
    <w:rsid w:val="00A55E78"/>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rsid w:val="00A55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7" w:left="497" w:hangingChars="200" w:hanging="480"/>
    </w:pPr>
  </w:style>
  <w:style w:type="paragraph" w:styleId="3">
    <w:name w:val="Body Text Indent 3"/>
    <w:basedOn w:val="a"/>
    <w:rsid w:val="00A55E78"/>
    <w:pPr>
      <w:ind w:leftChars="100" w:left="240" w:firstLineChars="200" w:firstLine="480"/>
    </w:pPr>
  </w:style>
  <w:style w:type="paragraph" w:styleId="HTML">
    <w:name w:val="HTML Preformatted"/>
    <w:basedOn w:val="a"/>
    <w:rsid w:val="00A55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2349</Characters>
  <Application>Microsoft Office Word</Application>
  <DocSecurity>0</DocSecurity>
  <Lines>19</Lines>
  <Paragraphs>5</Paragraphs>
  <ScaleCrop>false</ScaleCrop>
  <Company>EY</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公職人員財產申報法施行細則修正條文</dc:title>
  <dc:subject/>
  <dc:creator>user</dc:creator>
  <cp:keywords/>
  <dc:description/>
  <cp:lastModifiedBy>許智涵</cp:lastModifiedBy>
  <cp:revision>2</cp:revision>
  <dcterms:created xsi:type="dcterms:W3CDTF">2016-06-17T07:33:00Z</dcterms:created>
  <dcterms:modified xsi:type="dcterms:W3CDTF">2016-06-17T07:33:00Z</dcterms:modified>
</cp:coreProperties>
</file>