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E0" w:rsidRDefault="00164A46" w:rsidP="00164A46">
      <w:pPr>
        <w:spacing w:line="460" w:lineRule="exact"/>
        <w:jc w:val="both"/>
        <w:rPr>
          <w:rFonts w:ascii="標楷體" w:eastAsia="標楷體" w:hAnsi="標楷體" w:hint="eastAsia"/>
          <w:bCs/>
          <w:sz w:val="40"/>
          <w:szCs w:val="40"/>
        </w:rPr>
      </w:pPr>
      <w:bookmarkStart w:id="0" w:name="_GoBack"/>
      <w:bookmarkEnd w:id="0"/>
      <w:r w:rsidRPr="00164A46">
        <w:rPr>
          <w:rFonts w:eastAsia="標楷體" w:hint="eastAsia"/>
          <w:sz w:val="40"/>
          <w:szCs w:val="40"/>
        </w:rPr>
        <w:t>公職人員財產申報資料審核及查閱辦法修正條文</w:t>
      </w:r>
    </w:p>
    <w:p w:rsidR="0023477B" w:rsidRPr="00164A46" w:rsidRDefault="0023477B" w:rsidP="0023477B">
      <w:pPr>
        <w:spacing w:line="460" w:lineRule="exact"/>
        <w:ind w:left="1053" w:hangingChars="376" w:hanging="1053"/>
        <w:jc w:val="both"/>
        <w:rPr>
          <w:rFonts w:ascii="標楷體" w:eastAsia="標楷體" w:hAnsi="標楷體" w:hint="eastAsia"/>
          <w:sz w:val="28"/>
          <w:szCs w:val="28"/>
        </w:rPr>
      </w:pPr>
      <w:r w:rsidRPr="0023477B">
        <w:rPr>
          <w:rFonts w:ascii="標楷體" w:eastAsia="標楷體" w:hAnsi="標楷體"/>
          <w:sz w:val="28"/>
          <w:szCs w:val="28"/>
        </w:rPr>
        <w:t>第</w:t>
      </w:r>
      <w:r>
        <w:rPr>
          <w:rFonts w:ascii="標楷體" w:eastAsia="標楷體" w:hAnsi="標楷體" w:hint="eastAsia"/>
          <w:sz w:val="28"/>
          <w:szCs w:val="28"/>
        </w:rPr>
        <w:t xml:space="preserve"> </w:t>
      </w:r>
      <w:r w:rsidRPr="0023477B">
        <w:rPr>
          <w:rFonts w:ascii="標楷體" w:eastAsia="標楷體" w:hAnsi="標楷體" w:hint="eastAsia"/>
          <w:sz w:val="28"/>
          <w:szCs w:val="28"/>
        </w:rPr>
        <w:t>一</w:t>
      </w:r>
      <w:r>
        <w:rPr>
          <w:rFonts w:ascii="標楷體" w:eastAsia="標楷體" w:hAnsi="標楷體" w:hint="eastAsia"/>
          <w:sz w:val="28"/>
          <w:szCs w:val="28"/>
        </w:rPr>
        <w:t xml:space="preserve"> </w:t>
      </w:r>
      <w:r w:rsidRPr="0023477B">
        <w:rPr>
          <w:rFonts w:ascii="標楷體" w:eastAsia="標楷體" w:hAnsi="標楷體"/>
          <w:sz w:val="28"/>
          <w:szCs w:val="28"/>
        </w:rPr>
        <w:t>條</w:t>
      </w:r>
      <w:r w:rsidRPr="0023477B">
        <w:rPr>
          <w:rFonts w:ascii="標楷體" w:eastAsia="標楷體" w:hAnsi="標楷體" w:hint="eastAsia"/>
          <w:sz w:val="28"/>
          <w:szCs w:val="28"/>
        </w:rPr>
        <w:t xml:space="preserve">    </w:t>
      </w:r>
      <w:r w:rsidR="00164A46" w:rsidRPr="00164A46">
        <w:rPr>
          <w:rFonts w:ascii="標楷體" w:eastAsia="標楷體" w:hAnsi="標楷體" w:hint="eastAsia"/>
          <w:sz w:val="28"/>
          <w:szCs w:val="28"/>
        </w:rPr>
        <w:t>本辦法依公職人員財產申報法 (以下稱本法) 第六條第三項及第十一條第一項規定訂定之。</w:t>
      </w:r>
    </w:p>
    <w:p w:rsidR="00164A46" w:rsidRPr="00164A46" w:rsidRDefault="00571CE0" w:rsidP="00164A46">
      <w:pPr>
        <w:spacing w:line="460" w:lineRule="exact"/>
        <w:ind w:left="1053" w:hangingChars="376" w:hanging="1053"/>
        <w:jc w:val="both"/>
        <w:rPr>
          <w:rFonts w:eastAsia="標楷體" w:hAnsi="標楷體" w:hint="eastAsia"/>
          <w:color w:val="000000"/>
          <w:sz w:val="28"/>
          <w:szCs w:val="28"/>
        </w:rPr>
      </w:pPr>
      <w:r w:rsidRPr="006A204D">
        <w:rPr>
          <w:rFonts w:ascii="標楷體" w:eastAsia="標楷體" w:hAnsi="標楷體" w:hint="eastAsia"/>
          <w:sz w:val="28"/>
          <w:szCs w:val="28"/>
        </w:rPr>
        <w:t xml:space="preserve">第 二 條　　</w:t>
      </w:r>
      <w:r w:rsidR="00164A46" w:rsidRPr="00164A46">
        <w:rPr>
          <w:rFonts w:eastAsia="標楷體" w:hAnsi="標楷體" w:hint="eastAsia"/>
          <w:color w:val="000000"/>
          <w:sz w:val="28"/>
          <w:szCs w:val="28"/>
        </w:rPr>
        <w:t>公職人員或公職候選人</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以下稱申報人</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申報財產，應依規定格式詳實填寫財產申報表</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以下稱申報表</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，並簽名或蓋章後，提出於該管受理申報機關</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構</w:t>
      </w:r>
      <w:r w:rsidR="00164A46" w:rsidRPr="00164A46">
        <w:rPr>
          <w:rFonts w:eastAsia="標楷體" w:hAnsi="標楷體" w:hint="eastAsia"/>
          <w:color w:val="000000"/>
          <w:sz w:val="28"/>
          <w:szCs w:val="28"/>
        </w:rPr>
        <w:t xml:space="preserve">) </w:t>
      </w:r>
      <w:r w:rsidR="00164A46" w:rsidRPr="00164A46">
        <w:rPr>
          <w:rFonts w:eastAsia="標楷體" w:hAnsi="標楷體" w:hint="eastAsia"/>
          <w:color w:val="000000"/>
          <w:sz w:val="28"/>
          <w:szCs w:val="28"/>
        </w:rPr>
        <w:t>。</w:t>
      </w:r>
    </w:p>
    <w:p w:rsidR="00164A46" w:rsidRDefault="00164A46" w:rsidP="00164A46">
      <w:pPr>
        <w:spacing w:line="460" w:lineRule="exact"/>
        <w:ind w:leftChars="450" w:left="1080" w:firstLineChars="202" w:firstLine="566"/>
        <w:jc w:val="both"/>
        <w:rPr>
          <w:rFonts w:eastAsia="標楷體" w:hAnsi="標楷體" w:hint="eastAsia"/>
          <w:color w:val="000000"/>
          <w:sz w:val="28"/>
          <w:szCs w:val="28"/>
        </w:rPr>
      </w:pPr>
      <w:r w:rsidRPr="00164A46">
        <w:rPr>
          <w:rFonts w:eastAsia="標楷體" w:hAnsi="標楷體" w:hint="eastAsia"/>
          <w:color w:val="000000"/>
          <w:sz w:val="28"/>
          <w:szCs w:val="28"/>
        </w:rPr>
        <w:t>受理申報機關</w:t>
      </w:r>
      <w:r w:rsidRPr="00164A46">
        <w:rPr>
          <w:rFonts w:eastAsia="標楷體" w:hAnsi="標楷體" w:hint="eastAsia"/>
          <w:color w:val="000000"/>
          <w:sz w:val="28"/>
          <w:szCs w:val="28"/>
        </w:rPr>
        <w:t xml:space="preserve"> (</w:t>
      </w:r>
      <w:r w:rsidRPr="00164A46">
        <w:rPr>
          <w:rFonts w:eastAsia="標楷體" w:hAnsi="標楷體" w:hint="eastAsia"/>
          <w:color w:val="000000"/>
          <w:sz w:val="28"/>
          <w:szCs w:val="28"/>
        </w:rPr>
        <w:t>構</w:t>
      </w:r>
      <w:r w:rsidRPr="00164A46">
        <w:rPr>
          <w:rFonts w:eastAsia="標楷體" w:hAnsi="標楷體" w:hint="eastAsia"/>
          <w:color w:val="000000"/>
          <w:sz w:val="28"/>
          <w:szCs w:val="28"/>
        </w:rPr>
        <w:t>)</w:t>
      </w:r>
      <w:r w:rsidRPr="00164A46">
        <w:rPr>
          <w:rFonts w:eastAsia="標楷體" w:hAnsi="標楷體" w:hint="eastAsia"/>
          <w:color w:val="000000"/>
          <w:sz w:val="28"/>
          <w:szCs w:val="28"/>
        </w:rPr>
        <w:t>採網路申報方式者，申報人之簽名或蓋章，以可資辨別申報人身分之電子簽章代之。</w:t>
      </w:r>
    </w:p>
    <w:p w:rsidR="00571CE0" w:rsidRPr="00164A46" w:rsidRDefault="00164A46" w:rsidP="00164A46">
      <w:pPr>
        <w:spacing w:line="460" w:lineRule="exact"/>
        <w:ind w:leftChars="450" w:left="1080" w:firstLineChars="202" w:firstLine="566"/>
        <w:jc w:val="both"/>
        <w:rPr>
          <w:rFonts w:ascii="標楷體" w:eastAsia="標楷體" w:hAnsi="標楷體"/>
          <w:color w:val="000000"/>
          <w:sz w:val="28"/>
          <w:szCs w:val="28"/>
        </w:rPr>
      </w:pPr>
      <w:r w:rsidRPr="00164A46">
        <w:rPr>
          <w:rFonts w:eastAsia="標楷體" w:hAnsi="標楷體" w:hint="eastAsia"/>
          <w:color w:val="000000"/>
          <w:sz w:val="28"/>
          <w:szCs w:val="28"/>
        </w:rPr>
        <w:t>受理申報機關</w:t>
      </w:r>
      <w:r w:rsidRPr="00164A46">
        <w:rPr>
          <w:rFonts w:eastAsia="標楷體" w:hAnsi="標楷體" w:hint="eastAsia"/>
          <w:color w:val="000000"/>
          <w:sz w:val="28"/>
          <w:szCs w:val="28"/>
        </w:rPr>
        <w:t xml:space="preserve"> (</w:t>
      </w:r>
      <w:r w:rsidRPr="00164A46">
        <w:rPr>
          <w:rFonts w:eastAsia="標楷體" w:hAnsi="標楷體" w:hint="eastAsia"/>
          <w:color w:val="000000"/>
          <w:sz w:val="28"/>
          <w:szCs w:val="28"/>
        </w:rPr>
        <w:t>構</w:t>
      </w:r>
      <w:r w:rsidRPr="00164A46">
        <w:rPr>
          <w:rFonts w:eastAsia="標楷體" w:hAnsi="標楷體" w:hint="eastAsia"/>
          <w:color w:val="000000"/>
          <w:sz w:val="28"/>
          <w:szCs w:val="28"/>
        </w:rPr>
        <w:t>)</w:t>
      </w:r>
      <w:r w:rsidRPr="00164A46">
        <w:rPr>
          <w:rFonts w:eastAsia="標楷體" w:hAnsi="標楷體" w:hint="eastAsia"/>
          <w:color w:val="000000"/>
          <w:sz w:val="28"/>
          <w:szCs w:val="28"/>
        </w:rPr>
        <w:t>於受理申報人之申報表後，應製發收據予申報人，並載明受理日期。但採網路申報方式者，不在此限。</w:t>
      </w:r>
    </w:p>
    <w:p w:rsidR="0023477B" w:rsidRPr="00164A46" w:rsidRDefault="0023477B" w:rsidP="0023477B">
      <w:pPr>
        <w:spacing w:line="460" w:lineRule="exact"/>
        <w:ind w:left="1137" w:hangingChars="406" w:hanging="1137"/>
        <w:jc w:val="both"/>
        <w:rPr>
          <w:rFonts w:ascii="標楷體" w:eastAsia="標楷體" w:hAnsi="標楷體" w:hint="eastAsia"/>
          <w:sz w:val="28"/>
          <w:szCs w:val="28"/>
        </w:rPr>
      </w:pPr>
      <w:r w:rsidRPr="0023477B">
        <w:rPr>
          <w:rFonts w:ascii="標楷體" w:eastAsia="標楷體" w:hAnsi="標楷體"/>
          <w:sz w:val="28"/>
          <w:szCs w:val="28"/>
        </w:rPr>
        <w:t xml:space="preserve">第 </w:t>
      </w:r>
      <w:r w:rsidRPr="0023477B">
        <w:rPr>
          <w:rFonts w:ascii="標楷體" w:eastAsia="標楷體" w:hAnsi="標楷體" w:hint="eastAsia"/>
          <w:sz w:val="28"/>
          <w:szCs w:val="28"/>
        </w:rPr>
        <w:t>三</w:t>
      </w:r>
      <w:r w:rsidRPr="0023477B">
        <w:rPr>
          <w:rFonts w:ascii="標楷體" w:eastAsia="標楷體" w:hAnsi="標楷體"/>
          <w:sz w:val="28"/>
          <w:szCs w:val="28"/>
        </w:rPr>
        <w:t xml:space="preserve"> 條</w:t>
      </w:r>
      <w:r w:rsidR="00164A46">
        <w:rPr>
          <w:rFonts w:ascii="標楷體" w:eastAsia="標楷體" w:hAnsi="標楷體" w:hint="eastAsia"/>
          <w:sz w:val="28"/>
          <w:szCs w:val="28"/>
        </w:rPr>
        <w:t xml:space="preserve">　　</w:t>
      </w:r>
      <w:r w:rsidR="00164A46" w:rsidRPr="00164A46">
        <w:rPr>
          <w:rFonts w:ascii="標楷體" w:eastAsia="標楷體" w:hAnsi="標楷體" w:hint="eastAsia"/>
          <w:sz w:val="28"/>
          <w:szCs w:val="28"/>
        </w:rPr>
        <w:t>申報人提出之申報表不符規定格式者，受理申報機關 (構) 應不予受理。</w:t>
      </w:r>
    </w:p>
    <w:p w:rsidR="00F22A2D" w:rsidRDefault="00F22A2D" w:rsidP="00F22A2D">
      <w:pPr>
        <w:spacing w:line="460" w:lineRule="exact"/>
        <w:ind w:left="1137" w:hangingChars="406" w:hanging="1137"/>
        <w:jc w:val="both"/>
        <w:rPr>
          <w:rFonts w:ascii="標楷體" w:eastAsia="標楷體" w:hAnsi="標楷體" w:hint="eastAsia"/>
          <w:sz w:val="28"/>
          <w:szCs w:val="28"/>
        </w:rPr>
      </w:pPr>
      <w:r w:rsidRPr="00F22A2D">
        <w:rPr>
          <w:rFonts w:ascii="標楷體" w:eastAsia="標楷體" w:hAnsi="標楷體" w:hint="eastAsia"/>
          <w:sz w:val="28"/>
          <w:szCs w:val="28"/>
        </w:rPr>
        <w:t>第 四 條</w:t>
      </w:r>
      <w:r w:rsidR="00164A46">
        <w:rPr>
          <w:rFonts w:ascii="標楷體" w:eastAsia="標楷體" w:hAnsi="標楷體" w:hint="eastAsia"/>
          <w:sz w:val="28"/>
          <w:szCs w:val="28"/>
        </w:rPr>
        <w:t xml:space="preserve">　　</w:t>
      </w:r>
      <w:r w:rsidR="00164A46" w:rsidRPr="00164A46">
        <w:rPr>
          <w:rFonts w:ascii="標楷體" w:eastAsia="標楷體" w:hAnsi="標楷體" w:hint="eastAsia"/>
          <w:sz w:val="28"/>
          <w:szCs w:val="28"/>
        </w:rPr>
        <w:t>申報人逾規定期限申報者，受理申報機關 (構)仍應受理。</w:t>
      </w:r>
    </w:p>
    <w:p w:rsidR="00164A46" w:rsidRPr="00164A46" w:rsidRDefault="00571CE0" w:rsidP="00164A46">
      <w:pPr>
        <w:spacing w:line="460" w:lineRule="exact"/>
        <w:ind w:left="1137" w:hangingChars="406" w:hanging="1137"/>
        <w:jc w:val="both"/>
        <w:rPr>
          <w:rFonts w:ascii="標楷體" w:eastAsia="標楷體" w:hAnsi="標楷體" w:hint="eastAsia"/>
          <w:sz w:val="28"/>
          <w:szCs w:val="28"/>
        </w:rPr>
      </w:pPr>
      <w:r w:rsidRPr="006A204D">
        <w:rPr>
          <w:rFonts w:ascii="標楷體" w:eastAsia="標楷體" w:hAnsi="標楷體" w:hint="eastAsia"/>
          <w:sz w:val="28"/>
          <w:szCs w:val="28"/>
        </w:rPr>
        <w:t>第</w:t>
      </w:r>
      <w:r w:rsidR="00164A46">
        <w:rPr>
          <w:rFonts w:ascii="標楷體" w:eastAsia="標楷體" w:hAnsi="標楷體" w:hint="eastAsia"/>
          <w:sz w:val="28"/>
          <w:szCs w:val="28"/>
        </w:rPr>
        <w:t xml:space="preserve"> </w:t>
      </w:r>
      <w:r w:rsidRPr="006A204D">
        <w:rPr>
          <w:rFonts w:ascii="標楷體" w:eastAsia="標楷體" w:hAnsi="標楷體" w:hint="eastAsia"/>
          <w:sz w:val="28"/>
          <w:szCs w:val="28"/>
        </w:rPr>
        <w:t>五</w:t>
      </w:r>
      <w:r w:rsidR="00164A46">
        <w:rPr>
          <w:rFonts w:ascii="標楷體" w:eastAsia="標楷體" w:hAnsi="標楷體" w:hint="eastAsia"/>
          <w:sz w:val="28"/>
          <w:szCs w:val="28"/>
        </w:rPr>
        <w:t xml:space="preserve"> </w:t>
      </w:r>
      <w:r w:rsidRPr="006A204D">
        <w:rPr>
          <w:rFonts w:ascii="標楷體" w:eastAsia="標楷體" w:hAnsi="標楷體" w:hint="eastAsia"/>
          <w:sz w:val="28"/>
          <w:szCs w:val="28"/>
        </w:rPr>
        <w:t>條</w:t>
      </w:r>
      <w:r w:rsidR="00164A46">
        <w:rPr>
          <w:rFonts w:ascii="標楷體" w:eastAsia="標楷體" w:hAnsi="標楷體" w:hint="eastAsia"/>
          <w:sz w:val="28"/>
          <w:szCs w:val="28"/>
        </w:rPr>
        <w:t xml:space="preserve">　　</w:t>
      </w:r>
      <w:r w:rsidR="00164A46" w:rsidRPr="00164A46">
        <w:rPr>
          <w:rFonts w:ascii="標楷體" w:eastAsia="標楷體" w:hAnsi="標楷體" w:hint="eastAsia"/>
          <w:sz w:val="28"/>
          <w:szCs w:val="28"/>
        </w:rPr>
        <w:t>受理申報機關 (構)受理申報後，除採網路申報方式者外，應就下列各款項目為形式審核：</w:t>
      </w:r>
    </w:p>
    <w:p w:rsidR="00571CE0" w:rsidRPr="006A204D" w:rsidRDefault="00571CE0" w:rsidP="006A204D">
      <w:pPr>
        <w:spacing w:line="460" w:lineRule="exact"/>
        <w:ind w:leftChars="715" w:left="2254" w:hangingChars="192" w:hanging="538"/>
        <w:jc w:val="both"/>
        <w:rPr>
          <w:rFonts w:ascii="標楷體" w:eastAsia="標楷體" w:hAnsi="標楷體" w:hint="eastAsia"/>
          <w:sz w:val="28"/>
          <w:szCs w:val="28"/>
        </w:rPr>
      </w:pPr>
      <w:r w:rsidRPr="006A204D">
        <w:rPr>
          <w:rFonts w:ascii="標楷體" w:eastAsia="標楷體" w:hAnsi="標楷體" w:hint="eastAsia"/>
          <w:sz w:val="28"/>
          <w:szCs w:val="28"/>
        </w:rPr>
        <w:t>一、</w:t>
      </w:r>
      <w:r w:rsidR="00164A46" w:rsidRPr="00164A46">
        <w:rPr>
          <w:rFonts w:ascii="標楷體" w:eastAsia="標楷體" w:hAnsi="標楷體" w:hint="eastAsia"/>
          <w:sz w:val="28"/>
          <w:szCs w:val="28"/>
        </w:rPr>
        <w:t>基本資料應填寫完整，信託申報者，應檢附相關文件</w:t>
      </w:r>
      <w:r w:rsidRPr="006A204D">
        <w:rPr>
          <w:rFonts w:ascii="標楷體" w:eastAsia="標楷體" w:hAnsi="標楷體" w:hint="eastAsia"/>
          <w:sz w:val="28"/>
          <w:szCs w:val="28"/>
        </w:rPr>
        <w:t>。</w:t>
      </w:r>
    </w:p>
    <w:p w:rsidR="00571CE0" w:rsidRPr="006A204D" w:rsidRDefault="00571CE0" w:rsidP="006A204D">
      <w:pPr>
        <w:spacing w:line="460" w:lineRule="exact"/>
        <w:ind w:leftChars="715" w:left="2254" w:hangingChars="192" w:hanging="538"/>
        <w:jc w:val="both"/>
        <w:rPr>
          <w:rFonts w:ascii="標楷體" w:eastAsia="標楷體" w:hAnsi="標楷體" w:hint="eastAsia"/>
          <w:sz w:val="28"/>
          <w:szCs w:val="28"/>
        </w:rPr>
      </w:pPr>
      <w:r w:rsidRPr="006A204D">
        <w:rPr>
          <w:rFonts w:ascii="標楷體" w:eastAsia="標楷體" w:hAnsi="標楷體" w:hint="eastAsia"/>
          <w:sz w:val="28"/>
          <w:szCs w:val="28"/>
        </w:rPr>
        <w:t>二、</w:t>
      </w:r>
      <w:r w:rsidR="00164A46" w:rsidRPr="00164A46">
        <w:rPr>
          <w:rFonts w:ascii="標楷體" w:eastAsia="標楷體" w:hAnsi="標楷體" w:hint="eastAsia"/>
          <w:sz w:val="28"/>
          <w:szCs w:val="28"/>
        </w:rPr>
        <w:t>增、刪、塗改處應蓋章或簽名，手寫申報者，字跡應清晰</w:t>
      </w:r>
      <w:r w:rsidRPr="006A204D">
        <w:rPr>
          <w:rFonts w:ascii="標楷體" w:eastAsia="標楷體" w:hAnsi="標楷體" w:hint="eastAsia"/>
          <w:sz w:val="28"/>
          <w:szCs w:val="28"/>
        </w:rPr>
        <w:t>。</w:t>
      </w:r>
    </w:p>
    <w:p w:rsidR="00571CE0" w:rsidRDefault="00571CE0" w:rsidP="006A204D">
      <w:pPr>
        <w:spacing w:line="460" w:lineRule="exact"/>
        <w:ind w:leftChars="715" w:left="2254" w:hangingChars="192" w:hanging="538"/>
        <w:jc w:val="both"/>
        <w:rPr>
          <w:rFonts w:ascii="標楷體" w:eastAsia="標楷體" w:hAnsi="標楷體" w:hint="eastAsia"/>
          <w:sz w:val="28"/>
          <w:szCs w:val="28"/>
        </w:rPr>
      </w:pPr>
      <w:r w:rsidRPr="006A204D">
        <w:rPr>
          <w:rFonts w:ascii="標楷體" w:eastAsia="標楷體" w:hAnsi="標楷體" w:hint="eastAsia"/>
          <w:sz w:val="28"/>
          <w:szCs w:val="28"/>
        </w:rPr>
        <w:t>三、</w:t>
      </w:r>
      <w:r w:rsidR="00164A46" w:rsidRPr="00164A46">
        <w:rPr>
          <w:rFonts w:ascii="標楷體" w:eastAsia="標楷體" w:hAnsi="標楷體" w:hint="eastAsia"/>
          <w:sz w:val="28"/>
          <w:szCs w:val="28"/>
        </w:rPr>
        <w:t>申報人應於申報表首頁填寫申報日，並於末頁簽名或蓋章</w:t>
      </w:r>
      <w:r w:rsidRPr="006A204D">
        <w:rPr>
          <w:rFonts w:ascii="標楷體" w:eastAsia="標楷體" w:hAnsi="標楷體" w:hint="eastAsia"/>
          <w:sz w:val="28"/>
          <w:szCs w:val="28"/>
        </w:rPr>
        <w:t>。</w:t>
      </w:r>
    </w:p>
    <w:p w:rsidR="00164A46" w:rsidRPr="006A204D" w:rsidRDefault="00164A46" w:rsidP="006A204D">
      <w:pPr>
        <w:spacing w:line="460" w:lineRule="exact"/>
        <w:ind w:leftChars="715" w:left="2254" w:hangingChars="192" w:hanging="538"/>
        <w:jc w:val="both"/>
        <w:rPr>
          <w:rFonts w:ascii="標楷體" w:eastAsia="標楷體" w:hAnsi="標楷體" w:hint="eastAsia"/>
          <w:sz w:val="28"/>
          <w:szCs w:val="28"/>
        </w:rPr>
      </w:pPr>
      <w:r>
        <w:rPr>
          <w:rFonts w:ascii="標楷體" w:eastAsia="標楷體" w:hAnsi="標楷體" w:hint="eastAsia"/>
          <w:sz w:val="28"/>
          <w:szCs w:val="28"/>
        </w:rPr>
        <w:t>四、</w:t>
      </w:r>
      <w:r w:rsidRPr="00164A46">
        <w:rPr>
          <w:rFonts w:ascii="標楷體" w:eastAsia="標楷體" w:hAnsi="標楷體" w:hint="eastAsia"/>
          <w:sz w:val="28"/>
          <w:szCs w:val="28"/>
        </w:rPr>
        <w:t>欄位空白處應填載「總申報筆數：零筆」。</w:t>
      </w:r>
    </w:p>
    <w:p w:rsidR="00164A46" w:rsidRDefault="00164A46" w:rsidP="00164A46">
      <w:pPr>
        <w:spacing w:line="460" w:lineRule="exact"/>
        <w:ind w:leftChars="450" w:left="1080" w:firstLineChars="214" w:firstLine="599"/>
        <w:jc w:val="both"/>
        <w:rPr>
          <w:rFonts w:ascii="標楷體" w:eastAsia="標楷體" w:hAnsi="標楷體" w:hint="eastAsia"/>
          <w:sz w:val="28"/>
          <w:szCs w:val="28"/>
        </w:rPr>
      </w:pPr>
      <w:r w:rsidRPr="00164A46">
        <w:rPr>
          <w:rFonts w:ascii="標楷體" w:eastAsia="標楷體" w:hAnsi="標楷體" w:hint="eastAsia"/>
          <w:sz w:val="28"/>
          <w:szCs w:val="28"/>
        </w:rPr>
        <w:t>申報人提出之申報表不合前項各款規定者，應通知其限期補正。申報人逾期不為補正者，受理申報機關（構）應製作書面紀錄留存。</w:t>
      </w:r>
    </w:p>
    <w:p w:rsidR="0023477B" w:rsidRPr="00164A46" w:rsidRDefault="0023477B" w:rsidP="0023477B">
      <w:pPr>
        <w:spacing w:line="460" w:lineRule="exact"/>
        <w:ind w:left="1053" w:hangingChars="376" w:hanging="1053"/>
        <w:jc w:val="both"/>
        <w:rPr>
          <w:rFonts w:ascii="標楷體" w:eastAsia="標楷體" w:hAnsi="標楷體" w:hint="eastAsia"/>
          <w:sz w:val="28"/>
          <w:szCs w:val="28"/>
        </w:rPr>
      </w:pPr>
      <w:r w:rsidRPr="0023477B">
        <w:rPr>
          <w:rFonts w:ascii="標楷體" w:eastAsia="標楷體" w:hAnsi="標楷體"/>
          <w:sz w:val="28"/>
          <w:szCs w:val="28"/>
        </w:rPr>
        <w:t>第</w:t>
      </w:r>
      <w:r>
        <w:rPr>
          <w:rFonts w:ascii="標楷體" w:eastAsia="標楷體" w:hAnsi="標楷體" w:hint="eastAsia"/>
          <w:sz w:val="28"/>
          <w:szCs w:val="28"/>
        </w:rPr>
        <w:t xml:space="preserve"> </w:t>
      </w:r>
      <w:r w:rsidRPr="0023477B">
        <w:rPr>
          <w:rFonts w:ascii="標楷體" w:eastAsia="標楷體" w:hAnsi="標楷體" w:hint="eastAsia"/>
          <w:sz w:val="28"/>
          <w:szCs w:val="28"/>
        </w:rPr>
        <w:t>六</w:t>
      </w:r>
      <w:r>
        <w:rPr>
          <w:rFonts w:ascii="標楷體" w:eastAsia="標楷體" w:hAnsi="標楷體" w:hint="eastAsia"/>
          <w:sz w:val="28"/>
          <w:szCs w:val="28"/>
        </w:rPr>
        <w:t xml:space="preserve"> </w:t>
      </w:r>
      <w:r w:rsidRPr="0023477B">
        <w:rPr>
          <w:rFonts w:ascii="標楷體" w:eastAsia="標楷體" w:hAnsi="標楷體"/>
          <w:sz w:val="28"/>
          <w:szCs w:val="28"/>
        </w:rPr>
        <w:t>條</w:t>
      </w:r>
      <w:r w:rsidR="00015814">
        <w:rPr>
          <w:rFonts w:ascii="標楷體" w:eastAsia="標楷體" w:hAnsi="標楷體" w:hint="eastAsia"/>
          <w:sz w:val="28"/>
          <w:szCs w:val="28"/>
        </w:rPr>
        <w:t xml:space="preserve">    </w:t>
      </w:r>
      <w:r w:rsidR="00164A46" w:rsidRPr="00164A46">
        <w:rPr>
          <w:rFonts w:ascii="標楷體" w:eastAsia="標楷體" w:hAnsi="標楷體" w:hint="eastAsia"/>
          <w:sz w:val="28"/>
          <w:szCs w:val="28"/>
        </w:rPr>
        <w:t>申報人於申報後發現申報資料錯誤時，得重新詳實填寫申報表，提出於原受理申報機關 (構) 申請更正，原申報表不得抽換；其採網路申報方式者，得自行更正後重新上傳申報資料。</w:t>
      </w:r>
    </w:p>
    <w:p w:rsidR="00164A46" w:rsidRPr="00164A46" w:rsidRDefault="0023477B" w:rsidP="00164A46">
      <w:pPr>
        <w:spacing w:line="460" w:lineRule="exact"/>
        <w:ind w:left="1053" w:hangingChars="376" w:hanging="1053"/>
        <w:jc w:val="both"/>
        <w:rPr>
          <w:rFonts w:ascii="標楷體" w:eastAsia="標楷體" w:hAnsi="標楷體" w:hint="eastAsia"/>
          <w:sz w:val="28"/>
          <w:szCs w:val="28"/>
        </w:rPr>
      </w:pPr>
      <w:r w:rsidRPr="0023477B">
        <w:rPr>
          <w:rFonts w:ascii="標楷體" w:eastAsia="標楷體" w:hAnsi="標楷體"/>
          <w:sz w:val="28"/>
          <w:szCs w:val="28"/>
        </w:rPr>
        <w:t>第</w:t>
      </w:r>
      <w:r>
        <w:rPr>
          <w:rFonts w:ascii="標楷體" w:eastAsia="標楷體" w:hAnsi="標楷體" w:hint="eastAsia"/>
          <w:sz w:val="28"/>
          <w:szCs w:val="28"/>
        </w:rPr>
        <w:t xml:space="preserve"> </w:t>
      </w:r>
      <w:r w:rsidRPr="0023477B">
        <w:rPr>
          <w:rFonts w:ascii="標楷體" w:eastAsia="標楷體" w:hAnsi="標楷體" w:hint="eastAsia"/>
          <w:sz w:val="28"/>
          <w:szCs w:val="28"/>
        </w:rPr>
        <w:t>七</w:t>
      </w:r>
      <w:r>
        <w:rPr>
          <w:rFonts w:ascii="標楷體" w:eastAsia="標楷體" w:hAnsi="標楷體" w:hint="eastAsia"/>
          <w:sz w:val="28"/>
          <w:szCs w:val="28"/>
        </w:rPr>
        <w:t xml:space="preserve"> </w:t>
      </w:r>
      <w:r w:rsidRPr="0023477B">
        <w:rPr>
          <w:rFonts w:ascii="標楷體" w:eastAsia="標楷體" w:hAnsi="標楷體"/>
          <w:sz w:val="28"/>
          <w:szCs w:val="28"/>
        </w:rPr>
        <w:t>條</w:t>
      </w:r>
      <w:r w:rsidR="00015814">
        <w:rPr>
          <w:rFonts w:ascii="標楷體" w:eastAsia="標楷體" w:hAnsi="標楷體" w:hint="eastAsia"/>
          <w:sz w:val="28"/>
          <w:szCs w:val="28"/>
        </w:rPr>
        <w:t xml:space="preserve">    </w:t>
      </w:r>
      <w:r w:rsidR="00164A46" w:rsidRPr="00164A46">
        <w:rPr>
          <w:rFonts w:ascii="標楷體" w:eastAsia="標楷體" w:hAnsi="標楷體" w:hint="eastAsia"/>
          <w:sz w:val="28"/>
          <w:szCs w:val="28"/>
        </w:rPr>
        <w:t>本法第十一條第一項所稱個案之查核，指具有下列各款情形之一者：</w:t>
      </w:r>
    </w:p>
    <w:p w:rsidR="00164A46" w:rsidRDefault="00164A46" w:rsidP="00164A46">
      <w:pPr>
        <w:spacing w:line="460" w:lineRule="exact"/>
        <w:ind w:leftChars="675" w:left="215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一、陳情或檢舉人以書面或言詞敘明申報人之姓名，且指明</w:t>
      </w:r>
      <w:r w:rsidRPr="00164A46">
        <w:rPr>
          <w:rFonts w:ascii="標楷體" w:eastAsia="標楷體" w:hAnsi="標楷體" w:hint="eastAsia"/>
          <w:sz w:val="28"/>
          <w:szCs w:val="28"/>
        </w:rPr>
        <w:lastRenderedPageBreak/>
        <w:t>其申報不實或涉有貪瀆之情事。</w:t>
      </w:r>
    </w:p>
    <w:p w:rsidR="00164A46" w:rsidRDefault="00164A46" w:rsidP="00164A46">
      <w:pPr>
        <w:spacing w:line="460" w:lineRule="exact"/>
        <w:ind w:leftChars="675" w:left="215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二、申報人生活與消費顯超過其薪資收入。</w:t>
      </w:r>
    </w:p>
    <w:p w:rsidR="00164A46" w:rsidRPr="00164A46" w:rsidRDefault="00164A46" w:rsidP="00164A46">
      <w:pPr>
        <w:spacing w:line="460" w:lineRule="exact"/>
        <w:ind w:leftChars="675" w:left="215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三、其他事證足認申報人有申報不實或貪瀆之嫌疑。</w:t>
      </w:r>
    </w:p>
    <w:p w:rsidR="00164A46" w:rsidRDefault="00164A46" w:rsidP="00164A46">
      <w:pPr>
        <w:spacing w:line="460" w:lineRule="exact"/>
        <w:ind w:leftChars="438" w:left="1051" w:firstLineChars="202" w:firstLine="566"/>
        <w:jc w:val="both"/>
        <w:rPr>
          <w:rFonts w:ascii="標楷體" w:eastAsia="標楷體" w:hAnsi="標楷體" w:hint="eastAsia"/>
          <w:sz w:val="28"/>
          <w:szCs w:val="28"/>
        </w:rPr>
      </w:pPr>
      <w:r w:rsidRPr="00164A46">
        <w:rPr>
          <w:rFonts w:ascii="標楷體" w:eastAsia="標楷體" w:hAnsi="標楷體" w:hint="eastAsia"/>
          <w:sz w:val="28"/>
          <w:szCs w:val="28"/>
        </w:rPr>
        <w:t>本法第十一條第一項所稱一定比例之查核，指申報年度申報總人數百分之五以上。</w:t>
      </w:r>
    </w:p>
    <w:p w:rsidR="0023477B" w:rsidRPr="00164A46" w:rsidRDefault="00164A46" w:rsidP="00164A46">
      <w:pPr>
        <w:spacing w:line="460" w:lineRule="exact"/>
        <w:ind w:leftChars="438" w:left="1051" w:firstLineChars="202" w:firstLine="566"/>
        <w:jc w:val="both"/>
        <w:rPr>
          <w:rFonts w:ascii="標楷體" w:eastAsia="標楷體" w:hAnsi="標楷體" w:hint="eastAsia"/>
          <w:sz w:val="28"/>
          <w:szCs w:val="28"/>
        </w:rPr>
      </w:pPr>
      <w:r w:rsidRPr="00164A46">
        <w:rPr>
          <w:rFonts w:ascii="標楷體" w:eastAsia="標楷體" w:hAnsi="標楷體" w:hint="eastAsia"/>
          <w:sz w:val="28"/>
          <w:szCs w:val="28"/>
        </w:rPr>
        <w:t>受理申報機關（構）進行一定比例之查核時，應以抽籤前之財產申報資料為準。</w:t>
      </w:r>
    </w:p>
    <w:p w:rsidR="00164A46" w:rsidRPr="00164A46" w:rsidRDefault="00571CE0" w:rsidP="00164A46">
      <w:pPr>
        <w:spacing w:line="460" w:lineRule="exact"/>
        <w:ind w:left="1100" w:hangingChars="393" w:hanging="1100"/>
        <w:jc w:val="both"/>
        <w:rPr>
          <w:rFonts w:ascii="標楷體" w:eastAsia="標楷體" w:hAnsi="sө" w:hint="eastAsia"/>
          <w:sz w:val="28"/>
          <w:szCs w:val="28"/>
        </w:rPr>
      </w:pPr>
      <w:r w:rsidRPr="006A204D">
        <w:rPr>
          <w:rFonts w:ascii="標楷體" w:eastAsia="標楷體" w:hAnsi="sө" w:hint="eastAsia"/>
          <w:sz w:val="28"/>
          <w:szCs w:val="28"/>
        </w:rPr>
        <w:t xml:space="preserve">第 八 條　　</w:t>
      </w:r>
      <w:r w:rsidR="00164A46" w:rsidRPr="00164A46">
        <w:rPr>
          <w:rFonts w:ascii="標楷體" w:eastAsia="標楷體" w:hAnsi="sө" w:hint="eastAsia"/>
          <w:sz w:val="28"/>
          <w:szCs w:val="28"/>
        </w:rPr>
        <w:t>受理申報機關 (構) 進行本法之查核時，除得依法向有關機關(構) 、團體或個人查詢外，應予申報人陳述意見之機會。受理申報機關 (構) 之上級政風機關（構）複核時，亦同。</w:t>
      </w:r>
    </w:p>
    <w:p w:rsidR="00571CE0" w:rsidRPr="00164A46" w:rsidRDefault="00164A46" w:rsidP="00164A46">
      <w:pPr>
        <w:spacing w:line="460" w:lineRule="exact"/>
        <w:ind w:leftChars="458" w:left="1099" w:firstLineChars="185" w:firstLine="518"/>
        <w:jc w:val="both"/>
        <w:rPr>
          <w:rFonts w:ascii="標楷體" w:eastAsia="標楷體" w:hAnsi="sө" w:hint="eastAsia"/>
          <w:sz w:val="28"/>
          <w:szCs w:val="28"/>
        </w:rPr>
      </w:pPr>
      <w:r w:rsidRPr="00164A46">
        <w:rPr>
          <w:rFonts w:ascii="標楷體" w:eastAsia="標楷體" w:hAnsi="sө" w:hint="eastAsia"/>
          <w:sz w:val="28"/>
          <w:szCs w:val="28"/>
        </w:rPr>
        <w:t>申報人得以書面或口頭陳述意見；以口頭陳述意見者，受理申報機關（構）應製作書面紀錄，並由申報人簽名或蓋章。</w:t>
      </w:r>
    </w:p>
    <w:p w:rsidR="00571CE0" w:rsidRPr="00164A46" w:rsidRDefault="00571CE0" w:rsidP="006A204D">
      <w:pPr>
        <w:spacing w:line="460" w:lineRule="exact"/>
        <w:ind w:left="1028" w:hangingChars="367" w:hanging="1028"/>
        <w:jc w:val="both"/>
        <w:rPr>
          <w:rFonts w:ascii="標楷體" w:eastAsia="標楷體" w:hAnsi="標楷體" w:hint="eastAsia"/>
          <w:sz w:val="28"/>
          <w:szCs w:val="28"/>
        </w:rPr>
      </w:pPr>
      <w:r w:rsidRPr="006A204D">
        <w:rPr>
          <w:rFonts w:ascii="標楷體" w:eastAsia="標楷體" w:hAnsi="標楷體" w:hint="eastAsia"/>
          <w:sz w:val="28"/>
          <w:szCs w:val="28"/>
        </w:rPr>
        <w:t xml:space="preserve">第 九 條　　</w:t>
      </w:r>
      <w:r w:rsidR="00164A46" w:rsidRPr="00164A46">
        <w:rPr>
          <w:rFonts w:ascii="標楷體" w:eastAsia="標楷體" w:hAnsi="標楷體" w:hint="eastAsia"/>
          <w:sz w:val="28"/>
          <w:szCs w:val="28"/>
        </w:rPr>
        <w:t>受理申報機關 (構) 對於前二條查核結果，應留有完整之紀錄。</w:t>
      </w:r>
    </w:p>
    <w:p w:rsidR="00164A46" w:rsidRPr="00164A46" w:rsidRDefault="00571CE0" w:rsidP="00164A46">
      <w:pPr>
        <w:spacing w:line="460" w:lineRule="exact"/>
        <w:ind w:left="1078" w:hangingChars="385" w:hanging="1078"/>
        <w:jc w:val="both"/>
        <w:rPr>
          <w:rFonts w:ascii="標楷體" w:eastAsia="標楷體" w:hAnsi="標楷體" w:hint="eastAsia"/>
          <w:sz w:val="28"/>
          <w:szCs w:val="28"/>
        </w:rPr>
      </w:pPr>
      <w:r w:rsidRPr="006A204D">
        <w:rPr>
          <w:rFonts w:ascii="標楷體" w:eastAsia="標楷體" w:hAnsi="標楷體" w:hint="eastAsia"/>
          <w:sz w:val="28"/>
          <w:szCs w:val="28"/>
        </w:rPr>
        <w:t xml:space="preserve">第 十 條　　</w:t>
      </w:r>
      <w:r w:rsidR="00164A46" w:rsidRPr="00164A46">
        <w:rPr>
          <w:rFonts w:ascii="標楷體" w:eastAsia="標楷體" w:hAnsi="標楷體" w:hint="eastAsia"/>
          <w:sz w:val="28"/>
          <w:szCs w:val="28"/>
        </w:rPr>
        <w:t>受理申報機關 (構) 認申報人非故意申報不實者，應將查核後之正確財產資料對照表附於原申報表，並通知申報人。</w:t>
      </w:r>
    </w:p>
    <w:p w:rsidR="00164A46" w:rsidRDefault="00164A46" w:rsidP="00164A46">
      <w:pPr>
        <w:spacing w:line="460" w:lineRule="exact"/>
        <w:ind w:leftChars="449" w:left="1078" w:firstLineChars="193" w:firstLine="540"/>
        <w:jc w:val="both"/>
        <w:rPr>
          <w:rFonts w:ascii="標楷體" w:eastAsia="標楷體" w:hAnsi="標楷體" w:hint="eastAsia"/>
          <w:sz w:val="28"/>
          <w:szCs w:val="28"/>
        </w:rPr>
      </w:pPr>
      <w:r w:rsidRPr="00164A46">
        <w:rPr>
          <w:rFonts w:ascii="標楷體" w:eastAsia="標楷體" w:hAnsi="標楷體" w:hint="eastAsia"/>
          <w:sz w:val="28"/>
          <w:szCs w:val="28"/>
        </w:rPr>
        <w:t>受理申報機關 (構) 認申報人非故意未予信託者，應通知申報人限期信託並申報。</w:t>
      </w:r>
    </w:p>
    <w:p w:rsidR="00571CE0" w:rsidRPr="00164A46" w:rsidRDefault="00164A46" w:rsidP="00164A46">
      <w:pPr>
        <w:spacing w:line="460" w:lineRule="exact"/>
        <w:ind w:leftChars="449" w:left="1078" w:firstLineChars="193" w:firstLine="540"/>
        <w:jc w:val="both"/>
        <w:rPr>
          <w:rFonts w:ascii="標楷體" w:eastAsia="標楷體" w:hAnsi="標楷體" w:hint="eastAsia"/>
          <w:sz w:val="28"/>
          <w:szCs w:val="28"/>
        </w:rPr>
      </w:pPr>
      <w:r w:rsidRPr="00164A46">
        <w:rPr>
          <w:rFonts w:ascii="標楷體" w:eastAsia="標楷體" w:hAnsi="標楷體" w:hint="eastAsia"/>
          <w:sz w:val="28"/>
          <w:szCs w:val="28"/>
        </w:rPr>
        <w:t>申報人於接獲第一項通知後，如發現有錯誤者，應即檢具正確財產資料之證明，申請受理申報機關 (構) 更正。</w:t>
      </w:r>
    </w:p>
    <w:p w:rsidR="00164A46" w:rsidRDefault="00015814" w:rsidP="00164A46">
      <w:pPr>
        <w:spacing w:line="460" w:lineRule="exact"/>
        <w:ind w:left="1439" w:hangingChars="514" w:hanging="1439"/>
        <w:jc w:val="both"/>
        <w:rPr>
          <w:rFonts w:ascii="標楷體" w:eastAsia="標楷體" w:hAnsi="標楷體" w:hint="eastAsia"/>
          <w:sz w:val="28"/>
          <w:szCs w:val="28"/>
        </w:rPr>
      </w:pPr>
      <w:r w:rsidRPr="00015814">
        <w:rPr>
          <w:rFonts w:ascii="標楷體" w:eastAsia="標楷體" w:hAnsi="標楷體"/>
          <w:sz w:val="28"/>
          <w:szCs w:val="28"/>
        </w:rPr>
        <w:t xml:space="preserve">第 </w:t>
      </w:r>
      <w:r w:rsidRPr="00015814">
        <w:rPr>
          <w:rFonts w:ascii="標楷體" w:eastAsia="標楷體" w:hAnsi="標楷體" w:hint="eastAsia"/>
          <w:sz w:val="28"/>
          <w:szCs w:val="28"/>
        </w:rPr>
        <w:t xml:space="preserve">十一 </w:t>
      </w:r>
      <w:r w:rsidRPr="00015814">
        <w:rPr>
          <w:rFonts w:ascii="標楷體" w:eastAsia="標楷體" w:hAnsi="標楷體"/>
          <w:sz w:val="28"/>
          <w:szCs w:val="28"/>
        </w:rPr>
        <w:t xml:space="preserve">條 </w:t>
      </w:r>
      <w:r w:rsidRPr="00015814">
        <w:rPr>
          <w:rFonts w:ascii="標楷體" w:eastAsia="標楷體" w:hAnsi="標楷體" w:hint="eastAsia"/>
          <w:sz w:val="28"/>
          <w:szCs w:val="28"/>
        </w:rPr>
        <w:t xml:space="preserve">   </w:t>
      </w:r>
      <w:r w:rsidR="00164A46" w:rsidRPr="00164A46">
        <w:rPr>
          <w:rFonts w:ascii="標楷體" w:eastAsia="標楷體" w:hAnsi="標楷體" w:hint="eastAsia"/>
          <w:sz w:val="28"/>
          <w:szCs w:val="28"/>
        </w:rPr>
        <w:t>受理申報機關(構)為政風機關（構）時，其所屬機關首長、副首長之財產申報資料由上級政風機關（構）查核及處理；無上級政風機關（構）者，移由法務部查核及處理。</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十二 條　　</w:t>
      </w:r>
      <w:r w:rsidRPr="00164A46">
        <w:rPr>
          <w:rFonts w:ascii="標楷體" w:eastAsia="標楷體" w:hAnsi="標楷體" w:hint="eastAsia"/>
          <w:sz w:val="28"/>
          <w:szCs w:val="28"/>
        </w:rPr>
        <w:t>受理申報機關 (構) 於本法第六條第一項所定期限內，依第五條規定完成形式審核後，應按申報人所申報之資料，彙整每人一冊，編號保存。</w:t>
      </w:r>
    </w:p>
    <w:p w:rsid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受理申報機關 (構) 就前項資料，應影（列）印加蓋與原本相符之章戳，列冊供人查閱。</w:t>
      </w:r>
    </w:p>
    <w:p w:rsidR="00164A46" w:rsidRP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受理申報機關（構）於申請人申請查閱時，應遮蓋申報人及其配偶與未成年子女之國民身分證統一編號（中華民國</w:t>
      </w:r>
      <w:r w:rsidRPr="00164A46">
        <w:rPr>
          <w:rFonts w:ascii="標楷體" w:eastAsia="標楷體" w:hAnsi="標楷體" w:hint="eastAsia"/>
          <w:sz w:val="28"/>
          <w:szCs w:val="28"/>
        </w:rPr>
        <w:lastRenderedPageBreak/>
        <w:t>居留證號）、通訊及戶籍地址、聯絡電話、門牌號碼或汽車牌照等資料。</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十三 條　　</w:t>
      </w:r>
      <w:r w:rsidRPr="00164A46">
        <w:rPr>
          <w:rFonts w:ascii="標楷體" w:eastAsia="標楷體" w:hAnsi="標楷體" w:hint="eastAsia"/>
          <w:sz w:val="28"/>
          <w:szCs w:val="28"/>
        </w:rPr>
        <w:t>查閱申報人申報之財產資料者，應填具申請書向受理申報機關 (構) 申請，受理申報機關 (構) 非有正當理由，不得拒絕。</w:t>
      </w:r>
    </w:p>
    <w:p w:rsid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前項申請查閱之人，以中華民國國民年滿二十歲者為限。</w:t>
      </w:r>
    </w:p>
    <w:p w:rsidR="00164A46" w:rsidRP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第一項之申請書應記載下列事項，經申請人簽名具結後，交受理申報機關 (構) 保存：</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一  申請人之姓名、住所及國民身分證統一編號。</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二  查閱申報資料之目的。</w:t>
      </w:r>
    </w:p>
    <w:p w:rsidR="00164A46" w:rsidRP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三  申請人表明對於查閱之資料絕不供為營利、徵信、募款或其他不正當目的之使用。</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十四 條　　</w:t>
      </w:r>
      <w:r w:rsidRPr="00164A46">
        <w:rPr>
          <w:rFonts w:ascii="標楷體" w:eastAsia="標楷體" w:hAnsi="標楷體" w:hint="eastAsia"/>
          <w:sz w:val="28"/>
          <w:szCs w:val="28"/>
        </w:rPr>
        <w:t>受理申報機關 (構) 於收到申請書後，經審核合於規定者，應指定查閱時間、場所，通知申請人到場查閱。</w:t>
      </w:r>
    </w:p>
    <w:p w:rsidR="00164A46" w:rsidRP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前項通知，得以電話為之，並應製作書面紀錄留存。</w:t>
      </w:r>
    </w:p>
    <w:p w:rsidR="00164A46" w:rsidRPr="00164A46" w:rsidRDefault="00164A46" w:rsidP="00164A46">
      <w:pPr>
        <w:spacing w:line="460" w:lineRule="exact"/>
        <w:ind w:left="1078" w:hangingChars="385" w:hanging="1078"/>
        <w:jc w:val="both"/>
        <w:rPr>
          <w:rFonts w:ascii="標楷體" w:eastAsia="標楷體" w:hAnsi="標楷體" w:hint="eastAsia"/>
          <w:sz w:val="28"/>
          <w:szCs w:val="28"/>
        </w:rPr>
      </w:pPr>
      <w:r>
        <w:rPr>
          <w:rFonts w:ascii="標楷體" w:eastAsia="標楷體" w:hAnsi="標楷體" w:hint="eastAsia"/>
          <w:sz w:val="28"/>
          <w:szCs w:val="28"/>
        </w:rPr>
        <w:t xml:space="preserve">第 十五 條　　</w:t>
      </w:r>
      <w:r w:rsidRPr="00164A46">
        <w:rPr>
          <w:rFonts w:ascii="標楷體" w:eastAsia="標楷體" w:hAnsi="標楷體" w:hint="eastAsia"/>
          <w:sz w:val="28"/>
          <w:szCs w:val="28"/>
        </w:rPr>
        <w:t>申請人應親自到場查閱，不得委任他人為之。</w:t>
      </w:r>
    </w:p>
    <w:p w:rsidR="00164A46" w:rsidRP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申請人到場查閱時，應先出示其身分證明。</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十六 條　　</w:t>
      </w:r>
      <w:r w:rsidRPr="00164A46">
        <w:rPr>
          <w:rFonts w:ascii="標楷體" w:eastAsia="標楷體" w:hAnsi="標楷體" w:hint="eastAsia"/>
          <w:sz w:val="28"/>
          <w:szCs w:val="28"/>
        </w:rPr>
        <w:t>查閱資料應於受理申報機關 (構) 指定之場所為之，並僅得閱覽。其應遵守事項如下：</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一、不得將資料攜出場外。</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二、不得抄錄、攝影、影印。</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三、對於查閱之資料不得填註、塗改、更換、抽取、圈點或污損。</w:t>
      </w:r>
    </w:p>
    <w:p w:rsid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四、裝訂之資料不得拆散。</w:t>
      </w:r>
    </w:p>
    <w:p w:rsidR="00164A46" w:rsidRPr="00164A46" w:rsidRDefault="00164A46" w:rsidP="00164A46">
      <w:pPr>
        <w:spacing w:line="460" w:lineRule="exact"/>
        <w:ind w:leftChars="825" w:left="2518" w:hangingChars="192" w:hanging="538"/>
        <w:jc w:val="both"/>
        <w:rPr>
          <w:rFonts w:ascii="標楷體" w:eastAsia="標楷體" w:hAnsi="標楷體" w:hint="eastAsia"/>
          <w:sz w:val="28"/>
          <w:szCs w:val="28"/>
        </w:rPr>
      </w:pPr>
      <w:r w:rsidRPr="00164A46">
        <w:rPr>
          <w:rFonts w:ascii="標楷體" w:eastAsia="標楷體" w:hAnsi="標楷體" w:hint="eastAsia"/>
          <w:sz w:val="28"/>
          <w:szCs w:val="28"/>
        </w:rPr>
        <w:t>五、不得有其他影響資料完整或場所秩序之行為。</w:t>
      </w:r>
    </w:p>
    <w:p w:rsidR="00164A46" w:rsidRPr="00164A46" w:rsidRDefault="00164A46" w:rsidP="00164A46">
      <w:pPr>
        <w:spacing w:line="460" w:lineRule="exact"/>
        <w:ind w:leftChars="600" w:left="1440" w:firstLineChars="192" w:firstLine="538"/>
        <w:jc w:val="both"/>
        <w:rPr>
          <w:rFonts w:ascii="標楷體" w:eastAsia="標楷體" w:hAnsi="標楷體" w:hint="eastAsia"/>
          <w:sz w:val="28"/>
          <w:szCs w:val="28"/>
        </w:rPr>
      </w:pPr>
      <w:r w:rsidRPr="00164A46">
        <w:rPr>
          <w:rFonts w:ascii="標楷體" w:eastAsia="標楷體" w:hAnsi="標楷體" w:hint="eastAsia"/>
          <w:sz w:val="28"/>
          <w:szCs w:val="28"/>
        </w:rPr>
        <w:t>查閱人如有前項各款行為之一而涉及刑事責任者，受理申報機關 (構) 應依法函請該管檢察機關偵辦。</w:t>
      </w:r>
    </w:p>
    <w:p w:rsidR="00164A46" w:rsidRPr="00164A46" w:rsidRDefault="00164A46" w:rsidP="00164A46">
      <w:pPr>
        <w:spacing w:line="460" w:lineRule="exact"/>
        <w:ind w:left="1078" w:hangingChars="385" w:hanging="1078"/>
        <w:jc w:val="both"/>
        <w:rPr>
          <w:rFonts w:ascii="標楷體" w:eastAsia="標楷體" w:hAnsi="標楷體" w:hint="eastAsia"/>
          <w:sz w:val="28"/>
          <w:szCs w:val="28"/>
        </w:rPr>
      </w:pPr>
      <w:r>
        <w:rPr>
          <w:rFonts w:ascii="標楷體" w:eastAsia="標楷體" w:hAnsi="標楷體" w:hint="eastAsia"/>
          <w:sz w:val="28"/>
          <w:szCs w:val="28"/>
        </w:rPr>
        <w:t xml:space="preserve">第 十七 條　　</w:t>
      </w:r>
      <w:r w:rsidRPr="00164A46">
        <w:rPr>
          <w:rFonts w:ascii="標楷體" w:eastAsia="標楷體" w:hAnsi="標楷體" w:hint="eastAsia"/>
          <w:sz w:val="28"/>
          <w:szCs w:val="28"/>
        </w:rPr>
        <w:t>申請人對同一申報人申報之資料，每年以查閱一次為限。</w:t>
      </w:r>
    </w:p>
    <w:p w:rsidR="00164A46" w:rsidRPr="00164A46" w:rsidRDefault="00164A46" w:rsidP="00164A46">
      <w:pPr>
        <w:spacing w:line="460" w:lineRule="exact"/>
        <w:ind w:left="1078" w:hangingChars="385" w:hanging="1078"/>
        <w:jc w:val="both"/>
        <w:rPr>
          <w:rFonts w:ascii="標楷體" w:eastAsia="標楷體" w:hAnsi="標楷體" w:hint="eastAsia"/>
          <w:sz w:val="28"/>
          <w:szCs w:val="28"/>
        </w:rPr>
      </w:pPr>
      <w:r>
        <w:rPr>
          <w:rFonts w:ascii="標楷體" w:eastAsia="標楷體" w:hAnsi="標楷體" w:hint="eastAsia"/>
          <w:sz w:val="28"/>
          <w:szCs w:val="28"/>
        </w:rPr>
        <w:t xml:space="preserve">第 十八 條　　</w:t>
      </w:r>
      <w:r w:rsidRPr="00164A46">
        <w:rPr>
          <w:rFonts w:ascii="標楷體" w:eastAsia="標楷體" w:hAnsi="標楷體" w:hint="eastAsia"/>
          <w:sz w:val="28"/>
          <w:szCs w:val="28"/>
        </w:rPr>
        <w:t>申請人一次以申請查閱一人之申報資料為限。</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十九 條　　</w:t>
      </w:r>
      <w:r w:rsidRPr="00164A46">
        <w:rPr>
          <w:rFonts w:ascii="標楷體" w:eastAsia="標楷體" w:hAnsi="標楷體" w:hint="eastAsia"/>
          <w:sz w:val="28"/>
          <w:szCs w:val="28"/>
        </w:rPr>
        <w:t>受理申報機關 (構) 於申請人查閱資料時應指派專人在</w:t>
      </w:r>
      <w:r w:rsidRPr="00164A46">
        <w:rPr>
          <w:rFonts w:ascii="標楷體" w:eastAsia="標楷體" w:hAnsi="標楷體" w:hint="eastAsia"/>
          <w:sz w:val="28"/>
          <w:szCs w:val="28"/>
        </w:rPr>
        <w:lastRenderedPageBreak/>
        <w:t>場。</w:t>
      </w:r>
    </w:p>
    <w:p w:rsidR="00164A46" w:rsidRPr="00164A46" w:rsidRDefault="00164A46" w:rsidP="00164A46">
      <w:pPr>
        <w:spacing w:line="460" w:lineRule="exact"/>
        <w:ind w:left="1439" w:hangingChars="514" w:hanging="1439"/>
        <w:jc w:val="both"/>
        <w:rPr>
          <w:rFonts w:ascii="標楷體" w:eastAsia="標楷體" w:hAnsi="標楷體" w:hint="eastAsia"/>
          <w:sz w:val="28"/>
          <w:szCs w:val="28"/>
        </w:rPr>
      </w:pPr>
      <w:r>
        <w:rPr>
          <w:rFonts w:ascii="標楷體" w:eastAsia="標楷體" w:hAnsi="標楷體" w:hint="eastAsia"/>
          <w:sz w:val="28"/>
          <w:szCs w:val="28"/>
        </w:rPr>
        <w:t xml:space="preserve">第 二十 條　　</w:t>
      </w:r>
      <w:r w:rsidRPr="00164A46">
        <w:rPr>
          <w:rFonts w:ascii="標楷體" w:eastAsia="標楷體" w:hAnsi="標楷體" w:hint="eastAsia"/>
          <w:sz w:val="28"/>
          <w:szCs w:val="28"/>
        </w:rPr>
        <w:t>受理申報機關（構）應置查閱登記簿，登載查閱人及查閱相關事項。</w:t>
      </w:r>
    </w:p>
    <w:p w:rsidR="00015814" w:rsidRPr="00015814" w:rsidRDefault="00164A46" w:rsidP="00164A46">
      <w:pPr>
        <w:spacing w:line="460" w:lineRule="exact"/>
        <w:ind w:left="1439" w:hangingChars="514" w:hanging="1439"/>
        <w:jc w:val="both"/>
        <w:rPr>
          <w:rFonts w:ascii="標楷體" w:eastAsia="標楷體" w:hAnsi="標楷體"/>
          <w:sz w:val="28"/>
          <w:szCs w:val="28"/>
        </w:rPr>
      </w:pPr>
      <w:r>
        <w:rPr>
          <w:rFonts w:ascii="標楷體" w:eastAsia="標楷體" w:hAnsi="標楷體" w:hint="eastAsia"/>
          <w:sz w:val="28"/>
          <w:szCs w:val="28"/>
        </w:rPr>
        <w:t xml:space="preserve">第二十一條　　</w:t>
      </w:r>
      <w:r w:rsidRPr="00164A46">
        <w:rPr>
          <w:rFonts w:ascii="標楷體" w:eastAsia="標楷體" w:hAnsi="標楷體" w:hint="eastAsia"/>
          <w:sz w:val="28"/>
          <w:szCs w:val="28"/>
        </w:rPr>
        <w:t>本辦法自</w:t>
      </w:r>
      <w:smartTag w:uri="urn:schemas-microsoft-com:office:smarttags" w:element="chsdate">
        <w:smartTagPr>
          <w:attr w:name="Year" w:val="2008"/>
          <w:attr w:name="Month" w:val="10"/>
          <w:attr w:name="Day" w:val="1"/>
          <w:attr w:name="IsLunarDate" w:val="False"/>
          <w:attr w:name="IsROCDate" w:val="True"/>
        </w:smartTagPr>
        <w:r w:rsidRPr="00164A46">
          <w:rPr>
            <w:rFonts w:ascii="標楷體" w:eastAsia="標楷體" w:hAnsi="標楷體" w:hint="eastAsia"/>
            <w:sz w:val="28"/>
            <w:szCs w:val="28"/>
          </w:rPr>
          <w:t>中華民國九十七年十月一日</w:t>
        </w:r>
      </w:smartTag>
      <w:r w:rsidRPr="00164A46">
        <w:rPr>
          <w:rFonts w:ascii="標楷體" w:eastAsia="標楷體" w:hAnsi="標楷體" w:hint="eastAsia"/>
          <w:sz w:val="28"/>
          <w:szCs w:val="28"/>
        </w:rPr>
        <w:t>施行。</w:t>
      </w:r>
    </w:p>
    <w:p w:rsidR="00015814" w:rsidRPr="00015814" w:rsidRDefault="00015814" w:rsidP="006A204D">
      <w:pPr>
        <w:spacing w:line="460" w:lineRule="exact"/>
        <w:ind w:left="1078" w:hangingChars="385" w:hanging="1078"/>
        <w:jc w:val="both"/>
        <w:rPr>
          <w:rFonts w:ascii="標楷體" w:eastAsia="標楷體" w:hAnsi="標楷體" w:hint="eastAsia"/>
          <w:sz w:val="28"/>
          <w:szCs w:val="28"/>
        </w:rPr>
      </w:pPr>
    </w:p>
    <w:sectPr w:rsidR="00015814" w:rsidRPr="00015814" w:rsidSect="0062534A">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52" w:rsidRDefault="00D60352">
      <w:r>
        <w:separator/>
      </w:r>
    </w:p>
  </w:endnote>
  <w:endnote w:type="continuationSeparator" w:id="0">
    <w:p w:rsidR="00D60352" w:rsidRDefault="00D6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33" w:rsidRDefault="006568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E2AAA">
      <w:rPr>
        <w:rStyle w:val="a5"/>
        <w:noProof/>
      </w:rPr>
      <w:t>1</w:t>
    </w:r>
    <w:r>
      <w:rPr>
        <w:rStyle w:val="a5"/>
      </w:rPr>
      <w:fldChar w:fldCharType="end"/>
    </w:r>
  </w:p>
  <w:p w:rsidR="00656833" w:rsidRDefault="0065683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33" w:rsidRDefault="006568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6562">
      <w:rPr>
        <w:rStyle w:val="a5"/>
        <w:noProof/>
      </w:rPr>
      <w:t>2</w:t>
    </w:r>
    <w:r>
      <w:rPr>
        <w:rStyle w:val="a5"/>
      </w:rPr>
      <w:fldChar w:fldCharType="end"/>
    </w:r>
  </w:p>
  <w:p w:rsidR="00656833" w:rsidRDefault="0065683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52" w:rsidRDefault="00D60352">
      <w:r>
        <w:separator/>
      </w:r>
    </w:p>
  </w:footnote>
  <w:footnote w:type="continuationSeparator" w:id="0">
    <w:p w:rsidR="00D60352" w:rsidRDefault="00D60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D0B"/>
    <w:multiLevelType w:val="hybridMultilevel"/>
    <w:tmpl w:val="03926AAA"/>
    <w:lvl w:ilvl="0" w:tplc="D2686CD6">
      <w:start w:val="1"/>
      <w:numFmt w:val="taiwaneseCountingThousand"/>
      <w:lvlText w:val="（%1）"/>
      <w:lvlJc w:val="left"/>
      <w:pPr>
        <w:tabs>
          <w:tab w:val="num" w:pos="3320"/>
        </w:tabs>
        <w:ind w:left="332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380E0E"/>
    <w:multiLevelType w:val="hybridMultilevel"/>
    <w:tmpl w:val="AD10C04C"/>
    <w:lvl w:ilvl="0" w:tplc="D2686CD6">
      <w:start w:val="1"/>
      <w:numFmt w:val="taiwaneseCountingThousand"/>
      <w:lvlText w:val="（%1）"/>
      <w:lvlJc w:val="left"/>
      <w:pPr>
        <w:tabs>
          <w:tab w:val="num" w:pos="3320"/>
        </w:tabs>
        <w:ind w:left="3320" w:hanging="1080"/>
      </w:pPr>
      <w:rPr>
        <w:rFonts w:hint="eastAsia"/>
      </w:rPr>
    </w:lvl>
    <w:lvl w:ilvl="1" w:tplc="04090019" w:tentative="1">
      <w:start w:val="1"/>
      <w:numFmt w:val="ideographTraditional"/>
      <w:lvlText w:val="%2、"/>
      <w:lvlJc w:val="left"/>
      <w:pPr>
        <w:tabs>
          <w:tab w:val="num" w:pos="3200"/>
        </w:tabs>
        <w:ind w:left="3200" w:hanging="480"/>
      </w:pPr>
    </w:lvl>
    <w:lvl w:ilvl="2" w:tplc="0409001B" w:tentative="1">
      <w:start w:val="1"/>
      <w:numFmt w:val="lowerRoman"/>
      <w:lvlText w:val="%3."/>
      <w:lvlJc w:val="right"/>
      <w:pPr>
        <w:tabs>
          <w:tab w:val="num" w:pos="3680"/>
        </w:tabs>
        <w:ind w:left="3680" w:hanging="480"/>
      </w:pPr>
    </w:lvl>
    <w:lvl w:ilvl="3" w:tplc="0409000F" w:tentative="1">
      <w:start w:val="1"/>
      <w:numFmt w:val="decimal"/>
      <w:lvlText w:val="%4."/>
      <w:lvlJc w:val="left"/>
      <w:pPr>
        <w:tabs>
          <w:tab w:val="num" w:pos="4160"/>
        </w:tabs>
        <w:ind w:left="4160" w:hanging="480"/>
      </w:pPr>
    </w:lvl>
    <w:lvl w:ilvl="4" w:tplc="04090019" w:tentative="1">
      <w:start w:val="1"/>
      <w:numFmt w:val="ideographTraditional"/>
      <w:lvlText w:val="%5、"/>
      <w:lvlJc w:val="left"/>
      <w:pPr>
        <w:tabs>
          <w:tab w:val="num" w:pos="4640"/>
        </w:tabs>
        <w:ind w:left="4640" w:hanging="480"/>
      </w:pPr>
    </w:lvl>
    <w:lvl w:ilvl="5" w:tplc="0409001B" w:tentative="1">
      <w:start w:val="1"/>
      <w:numFmt w:val="lowerRoman"/>
      <w:lvlText w:val="%6."/>
      <w:lvlJc w:val="right"/>
      <w:pPr>
        <w:tabs>
          <w:tab w:val="num" w:pos="5120"/>
        </w:tabs>
        <w:ind w:left="5120" w:hanging="480"/>
      </w:pPr>
    </w:lvl>
    <w:lvl w:ilvl="6" w:tplc="0409000F" w:tentative="1">
      <w:start w:val="1"/>
      <w:numFmt w:val="decimal"/>
      <w:lvlText w:val="%7."/>
      <w:lvlJc w:val="left"/>
      <w:pPr>
        <w:tabs>
          <w:tab w:val="num" w:pos="5600"/>
        </w:tabs>
        <w:ind w:left="5600" w:hanging="480"/>
      </w:pPr>
    </w:lvl>
    <w:lvl w:ilvl="7" w:tplc="04090019" w:tentative="1">
      <w:start w:val="1"/>
      <w:numFmt w:val="ideographTraditional"/>
      <w:lvlText w:val="%8、"/>
      <w:lvlJc w:val="left"/>
      <w:pPr>
        <w:tabs>
          <w:tab w:val="num" w:pos="6080"/>
        </w:tabs>
        <w:ind w:left="6080" w:hanging="480"/>
      </w:pPr>
    </w:lvl>
    <w:lvl w:ilvl="8" w:tplc="0409001B" w:tentative="1">
      <w:start w:val="1"/>
      <w:numFmt w:val="lowerRoman"/>
      <w:lvlText w:val="%9."/>
      <w:lvlJc w:val="right"/>
      <w:pPr>
        <w:tabs>
          <w:tab w:val="num" w:pos="6560"/>
        </w:tabs>
        <w:ind w:left="6560" w:hanging="480"/>
      </w:pPr>
    </w:lvl>
  </w:abstractNum>
  <w:abstractNum w:abstractNumId="2" w15:restartNumberingAfterBreak="0">
    <w:nsid w:val="1AC53EB4"/>
    <w:multiLevelType w:val="hybridMultilevel"/>
    <w:tmpl w:val="6A8A9FFE"/>
    <w:lvl w:ilvl="0" w:tplc="E162F854">
      <w:start w:val="1"/>
      <w:numFmt w:val="taiwaneseCountingThousand"/>
      <w:lvlText w:val="（%1）"/>
      <w:lvlJc w:val="left"/>
      <w:pPr>
        <w:tabs>
          <w:tab w:val="num" w:pos="2520"/>
        </w:tabs>
        <w:ind w:left="2520" w:hanging="1080"/>
      </w:pPr>
      <w:rPr>
        <w:rFonts w:hint="eastAsia"/>
      </w:rPr>
    </w:lvl>
    <w:lvl w:ilvl="1" w:tplc="6BCE2CBA">
      <w:start w:val="1"/>
      <w:numFmt w:val="taiwaneseCountingThousand"/>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5F5224C5"/>
    <w:multiLevelType w:val="hybridMultilevel"/>
    <w:tmpl w:val="C8341E18"/>
    <w:lvl w:ilvl="0" w:tplc="D2686CD6">
      <w:start w:val="1"/>
      <w:numFmt w:val="taiwaneseCountingThousand"/>
      <w:lvlText w:val="（%1）"/>
      <w:lvlJc w:val="left"/>
      <w:pPr>
        <w:tabs>
          <w:tab w:val="num" w:pos="3320"/>
        </w:tabs>
        <w:ind w:left="3320" w:hanging="10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F05569"/>
    <w:multiLevelType w:val="hybridMultilevel"/>
    <w:tmpl w:val="FBEA08AC"/>
    <w:lvl w:ilvl="0" w:tplc="ACF00A14">
      <w:start w:val="1"/>
      <w:numFmt w:val="taiwaneseCountingThousand"/>
      <w:lvlText w:val="（%1）"/>
      <w:lvlJc w:val="left"/>
      <w:pPr>
        <w:tabs>
          <w:tab w:val="num" w:pos="2520"/>
        </w:tabs>
        <w:ind w:left="2520" w:hanging="1080"/>
      </w:pPr>
      <w:rPr>
        <w:rFonts w:hint="eastAsia"/>
      </w:rPr>
    </w:lvl>
    <w:lvl w:ilvl="1" w:tplc="09A42A1A">
      <w:start w:val="1"/>
      <w:numFmt w:val="taiwaneseCountingThousand"/>
      <w:lvlText w:val="%2、"/>
      <w:lvlJc w:val="left"/>
      <w:pPr>
        <w:tabs>
          <w:tab w:val="num" w:pos="2640"/>
        </w:tabs>
        <w:ind w:left="2640" w:hanging="720"/>
      </w:pPr>
      <w:rPr>
        <w:rFonts w:hint="eastAsia"/>
      </w:r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E76"/>
    <w:rsid w:val="00015814"/>
    <w:rsid w:val="00057406"/>
    <w:rsid w:val="00063C8B"/>
    <w:rsid w:val="000B7730"/>
    <w:rsid w:val="001008B0"/>
    <w:rsid w:val="00164A46"/>
    <w:rsid w:val="0023477B"/>
    <w:rsid w:val="003A42D5"/>
    <w:rsid w:val="003E28A5"/>
    <w:rsid w:val="003F5372"/>
    <w:rsid w:val="00483EDB"/>
    <w:rsid w:val="005130AC"/>
    <w:rsid w:val="00542E76"/>
    <w:rsid w:val="00571CE0"/>
    <w:rsid w:val="00576562"/>
    <w:rsid w:val="005A48D8"/>
    <w:rsid w:val="005A7442"/>
    <w:rsid w:val="0062534A"/>
    <w:rsid w:val="00656833"/>
    <w:rsid w:val="00674678"/>
    <w:rsid w:val="0068433D"/>
    <w:rsid w:val="006A1D69"/>
    <w:rsid w:val="006A204D"/>
    <w:rsid w:val="006E2AAA"/>
    <w:rsid w:val="0079393D"/>
    <w:rsid w:val="00836290"/>
    <w:rsid w:val="008625E4"/>
    <w:rsid w:val="009414A5"/>
    <w:rsid w:val="00B1743A"/>
    <w:rsid w:val="00B2274F"/>
    <w:rsid w:val="00BB7548"/>
    <w:rsid w:val="00D60352"/>
    <w:rsid w:val="00D8410F"/>
    <w:rsid w:val="00ED4C8C"/>
    <w:rsid w:val="00F22A2D"/>
    <w:rsid w:val="00F545AB"/>
    <w:rsid w:val="00FA570D"/>
    <w:rsid w:val="00FE26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3A547A2-A055-438C-AA94-DD00DCF42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標楷體"/>
      <w:sz w:val="40"/>
    </w:rPr>
  </w:style>
  <w:style w:type="paragraph" w:styleId="2">
    <w:name w:val="Body Text 2"/>
    <w:basedOn w:val="a"/>
    <w:rPr>
      <w:rFonts w:eastAsia="標楷體"/>
      <w:sz w:val="32"/>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3">
    <w:name w:val="Body Text Indent 3"/>
    <w:basedOn w:val="a"/>
    <w:pPr>
      <w:spacing w:line="460" w:lineRule="exact"/>
      <w:ind w:rightChars="-48" w:right="-154" w:firstLineChars="600" w:firstLine="1920"/>
      <w:jc w:val="both"/>
    </w:pPr>
    <w:rPr>
      <w:rFonts w:ascii="標楷體" w:eastAsia="標楷體" w:hAnsi="標楷體"/>
      <w:sz w:val="32"/>
      <w:szCs w:val="15"/>
    </w:rPr>
  </w:style>
  <w:style w:type="paragraph" w:styleId="a6">
    <w:name w:val="Block Text"/>
    <w:basedOn w:val="a"/>
    <w:pPr>
      <w:spacing w:line="460" w:lineRule="exact"/>
      <w:ind w:leftChars="366" w:left="878" w:rightChars="-48" w:right="-115" w:firstLineChars="251" w:firstLine="703"/>
      <w:jc w:val="both"/>
    </w:pPr>
    <w:rPr>
      <w:rFonts w:ascii="標楷體" w:eastAsia="標楷體" w:hAnsi="標楷體"/>
      <w:color w:val="000000"/>
      <w:sz w:val="28"/>
      <w:szCs w:val="15"/>
    </w:rPr>
  </w:style>
  <w:style w:type="paragraph" w:styleId="a7">
    <w:name w:val="Balloon Text"/>
    <w:basedOn w:val="a"/>
    <w:semiHidden/>
    <w:rsid w:val="001008B0"/>
    <w:rPr>
      <w:rFonts w:ascii="Arial" w:hAnsi="Arial"/>
      <w:sz w:val="18"/>
      <w:szCs w:val="18"/>
    </w:rPr>
  </w:style>
  <w:style w:type="paragraph" w:styleId="Web">
    <w:name w:val="Normal (Web)"/>
    <w:basedOn w:val="a"/>
    <w:rsid w:val="00F22A2D"/>
    <w:pPr>
      <w:widowControl/>
      <w:spacing w:before="100" w:beforeAutospacing="1" w:after="100" w:afterAutospacing="1"/>
    </w:pPr>
    <w:rPr>
      <w:rFonts w:ascii="新細明體" w:hAnsi="新細明體"/>
      <w:color w:val="003366"/>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1842</Characters>
  <Application>Microsoft Office Word</Application>
  <DocSecurity>0</DocSecurity>
  <Lines>15</Lines>
  <Paragraphs>4</Paragraphs>
  <ScaleCrop>false</ScaleCrop>
  <Company>moea</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公司購置節約能源或利用新及淨潔能源設備或技術適用投資抵減辦法部分條文修正草案</dc:title>
  <dc:subject/>
  <dc:creator>smlin</dc:creator>
  <cp:keywords/>
  <cp:lastModifiedBy>許智涵</cp:lastModifiedBy>
  <cp:revision>2</cp:revision>
  <cp:lastPrinted>2009-05-08T02:12:00Z</cp:lastPrinted>
  <dcterms:created xsi:type="dcterms:W3CDTF">2016-06-17T07:32:00Z</dcterms:created>
  <dcterms:modified xsi:type="dcterms:W3CDTF">2016-06-17T07:32:00Z</dcterms:modified>
</cp:coreProperties>
</file>