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03" w:rsidRPr="00C66CAD" w:rsidRDefault="00345F03" w:rsidP="00345F03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2D552A">
        <w:rPr>
          <w:rFonts w:ascii="Arial" w:eastAsia="標楷體" w:hAnsi="Arial" w:cs="Arial"/>
          <w:b/>
          <w:sz w:val="32"/>
          <w:szCs w:val="32"/>
          <w:bdr w:val="single" w:sz="4" w:space="0" w:color="auto"/>
        </w:rPr>
        <w:t>附件</w:t>
      </w:r>
      <w:r>
        <w:rPr>
          <w:rFonts w:ascii="Arial" w:eastAsia="標楷體" w:hAnsi="Arial" w:cs="Arial" w:hint="eastAsia"/>
          <w:b/>
          <w:sz w:val="32"/>
          <w:szCs w:val="32"/>
          <w:bdr w:val="single" w:sz="4" w:space="0" w:color="auto"/>
        </w:rPr>
        <w:t>4</w:t>
      </w:r>
    </w:p>
    <w:p w:rsidR="00345F03" w:rsidRPr="00FB4206" w:rsidRDefault="00345F03" w:rsidP="00345F03">
      <w:pPr>
        <w:widowControl/>
        <w:spacing w:line="48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FB4206">
        <w:rPr>
          <w:rFonts w:ascii="Arial" w:eastAsia="標楷體" w:hAnsi="Arial" w:cs="Arial" w:hint="eastAsia"/>
          <w:b/>
          <w:sz w:val="40"/>
          <w:szCs w:val="40"/>
        </w:rPr>
        <w:t>112</w:t>
      </w:r>
      <w:r w:rsidRPr="00FB4206">
        <w:rPr>
          <w:rFonts w:ascii="Arial" w:eastAsia="標楷體" w:hAnsi="Arial" w:cs="Arial" w:hint="eastAsia"/>
          <w:b/>
          <w:sz w:val="40"/>
          <w:szCs w:val="40"/>
        </w:rPr>
        <w:t>年試辦學習型城市認證</w:t>
      </w:r>
    </w:p>
    <w:p w:rsidR="00345F03" w:rsidRDefault="00345F03" w:rsidP="00345F03">
      <w:pPr>
        <w:widowControl/>
        <w:spacing w:line="2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:rsidR="00345F03" w:rsidRDefault="00345F03" w:rsidP="00345F03">
      <w:pPr>
        <w:widowControl/>
        <w:spacing w:line="2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:rsidR="00345F03" w:rsidRPr="002A5A8B" w:rsidRDefault="00345F03" w:rsidP="00345F03">
      <w:pPr>
        <w:widowControl/>
        <w:spacing w:line="480" w:lineRule="exact"/>
        <w:jc w:val="center"/>
        <w:rPr>
          <w:rFonts w:ascii="Arial" w:eastAsia="標楷體" w:hAnsi="Arial" w:cs="Arial"/>
          <w:b/>
          <w:sz w:val="32"/>
          <w:szCs w:val="32"/>
          <w:shd w:val="pct15" w:color="auto" w:fill="FFFFFF"/>
        </w:rPr>
      </w:pPr>
      <w:r w:rsidRPr="00F94028">
        <w:rPr>
          <w:rFonts w:ascii="微軟正黑體" w:eastAsia="微軟正黑體" w:hAnsi="微軟正黑體" w:cs="微軟正黑體" w:hint="eastAsia"/>
          <w:b/>
          <w:sz w:val="32"/>
          <w:szCs w:val="32"/>
        </w:rPr>
        <w:t>※</w:t>
      </w:r>
      <w:r w:rsidRPr="002A5A8B">
        <w:rPr>
          <w:rFonts w:ascii="Arial" w:eastAsia="標楷體" w:hAnsi="Arial" w:cs="Arial" w:hint="eastAsia"/>
          <w:b/>
          <w:sz w:val="32"/>
          <w:szCs w:val="32"/>
          <w:shd w:val="pct15" w:color="auto" w:fill="FFFFFF"/>
        </w:rPr>
        <w:t>通過認證縣市</w:t>
      </w:r>
      <w:r w:rsidRPr="00F94028">
        <w:rPr>
          <w:rFonts w:ascii="微軟正黑體" w:eastAsia="微軟正黑體" w:hAnsi="微軟正黑體" w:cs="微軟正黑體" w:hint="eastAsia"/>
          <w:b/>
          <w:sz w:val="32"/>
          <w:szCs w:val="32"/>
        </w:rPr>
        <w:t>※</w:t>
      </w:r>
    </w:p>
    <w:p w:rsidR="00345F03" w:rsidRDefault="00345F03" w:rsidP="00345F03">
      <w:pPr>
        <w:widowControl/>
        <w:spacing w:line="2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:rsidR="00345F03" w:rsidRDefault="00345F03" w:rsidP="00345F03">
      <w:pPr>
        <w:widowControl/>
        <w:spacing w:line="2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:rsidR="00345F03" w:rsidRDefault="00345F03" w:rsidP="00345F03">
      <w:pPr>
        <w:widowControl/>
        <w:spacing w:line="200" w:lineRule="exact"/>
        <w:jc w:val="center"/>
        <w:rPr>
          <w:rFonts w:eastAsia="標楷體"/>
          <w:color w:val="000000" w:themeColor="text1"/>
          <w:sz w:val="32"/>
          <w:szCs w:val="32"/>
        </w:rPr>
      </w:pPr>
    </w:p>
    <w:p w:rsidR="00345F03" w:rsidRPr="002A5A8B" w:rsidRDefault="00345F03" w:rsidP="00345F03">
      <w:pPr>
        <w:widowControl/>
        <w:spacing w:line="48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2A5A8B">
        <w:rPr>
          <w:rFonts w:eastAsia="標楷體" w:hint="eastAsia"/>
          <w:color w:val="000000" w:themeColor="text1"/>
          <w:sz w:val="32"/>
          <w:szCs w:val="32"/>
        </w:rPr>
        <w:t>南投縣</w:t>
      </w:r>
    </w:p>
    <w:p w:rsidR="00345F03" w:rsidRPr="00277BFA" w:rsidRDefault="00345F03" w:rsidP="00345F03">
      <w:pPr>
        <w:widowControl/>
        <w:spacing w:line="200" w:lineRule="exact"/>
        <w:jc w:val="center"/>
        <w:rPr>
          <w:rFonts w:ascii="Arial" w:eastAsia="標楷體" w:hAnsi="Arial" w:cs="Arial"/>
          <w:b/>
          <w:sz w:val="32"/>
          <w:szCs w:val="36"/>
        </w:rPr>
      </w:pPr>
    </w:p>
    <w:p w:rsidR="00345F03" w:rsidRDefault="00345F03" w:rsidP="00345F03">
      <w:pPr>
        <w:widowControl/>
        <w:spacing w:line="200" w:lineRule="exact"/>
        <w:jc w:val="center"/>
        <w:rPr>
          <w:sz w:val="28"/>
          <w:szCs w:val="28"/>
        </w:rPr>
      </w:pPr>
    </w:p>
    <w:p w:rsidR="00345F03" w:rsidRPr="00DE63C0" w:rsidRDefault="00345F03" w:rsidP="00345F03">
      <w:pPr>
        <w:widowControl/>
        <w:spacing w:line="200" w:lineRule="exact"/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65"/>
        <w:gridCol w:w="8363"/>
      </w:tblGrid>
      <w:tr w:rsidR="00345F03" w:rsidRPr="002D552A" w:rsidTr="000800D0">
        <w:trPr>
          <w:tblHeader/>
          <w:jc w:val="center"/>
        </w:trPr>
        <w:tc>
          <w:tcPr>
            <w:tcW w:w="657" w:type="pct"/>
            <w:tcBorders>
              <w:bottom w:val="single" w:sz="18" w:space="0" w:color="auto"/>
            </w:tcBorders>
          </w:tcPr>
          <w:p w:rsidR="00345F03" w:rsidRPr="002D552A" w:rsidRDefault="00345F03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單位</w:t>
            </w:r>
          </w:p>
        </w:tc>
        <w:tc>
          <w:tcPr>
            <w:tcW w:w="4343" w:type="pct"/>
            <w:tcBorders>
              <w:bottom w:val="single" w:sz="18" w:space="0" w:color="auto"/>
            </w:tcBorders>
          </w:tcPr>
          <w:p w:rsidR="00345F03" w:rsidRPr="002D552A" w:rsidRDefault="00345F03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552A">
              <w:rPr>
                <w:rFonts w:ascii="Arial" w:eastAsia="標楷體" w:hAnsi="Arial" w:cs="Arial"/>
                <w:sz w:val="28"/>
                <w:szCs w:val="28"/>
              </w:rPr>
              <w:t>優良事蹟</w:t>
            </w:r>
          </w:p>
        </w:tc>
      </w:tr>
      <w:tr w:rsidR="00345F03" w:rsidRPr="002D552A" w:rsidTr="000800D0">
        <w:trPr>
          <w:trHeight w:val="5981"/>
          <w:jc w:val="center"/>
        </w:trPr>
        <w:tc>
          <w:tcPr>
            <w:tcW w:w="657" w:type="pct"/>
            <w:tcBorders>
              <w:top w:val="single" w:sz="18" w:space="0" w:color="auto"/>
            </w:tcBorders>
            <w:vAlign w:val="center"/>
          </w:tcPr>
          <w:p w:rsidR="00345F03" w:rsidRDefault="00345F03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南</w:t>
            </w:r>
          </w:p>
          <w:p w:rsidR="00345F03" w:rsidRDefault="00345F03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投</w:t>
            </w:r>
          </w:p>
          <w:p w:rsidR="00345F03" w:rsidRPr="002D552A" w:rsidRDefault="00345F03" w:rsidP="000800D0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縣</w:t>
            </w:r>
          </w:p>
        </w:tc>
        <w:tc>
          <w:tcPr>
            <w:tcW w:w="4343" w:type="pct"/>
            <w:tcBorders>
              <w:top w:val="single" w:sz="18" w:space="0" w:color="auto"/>
            </w:tcBorders>
          </w:tcPr>
          <w:p w:rsidR="00345F03" w:rsidRPr="001D0AC2" w:rsidRDefault="00345F03" w:rsidP="000800D0">
            <w:p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南投縣以政府投入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之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承諾及決心為基礎，搭配明確組織法制、主管高度支持、清晰推動理念、跨局處行政資源整合，以及跨部門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之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緊密合作，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長期參與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教育部學習型城市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推動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計畫，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規劃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各項學習活動，帶動縣府內部跨局處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及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民間社團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等單位發展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多元學習型組織，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強化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建構全方位支持與滿足民眾個人與群體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學習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需求之終身學習生態系統。</w:t>
            </w:r>
          </w:p>
          <w:p w:rsidR="00345F03" w:rsidRPr="001D0AC2" w:rsidRDefault="00345F03" w:rsidP="000800D0">
            <w:pPr>
              <w:snapToGrid w:val="0"/>
              <w:spacing w:line="4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　　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南投縣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近期推動學習型城市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以提升「綠活城鎮」為主軸，結合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縣內高等教育機構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、社區大學、國姓國中、北投國小、魚池國中、樂齡學習示範中心、黑狗兄傳統手工餅</w:t>
            </w:r>
            <w:proofErr w:type="gramStart"/>
            <w:r w:rsidRPr="001D0AC2">
              <w:rPr>
                <w:rFonts w:ascii="Arial" w:eastAsia="標楷體" w:hAnsi="Arial" w:cs="Arial"/>
                <w:sz w:val="28"/>
                <w:szCs w:val="28"/>
              </w:rPr>
              <w:t>舖</w:t>
            </w:r>
            <w:proofErr w:type="gramEnd"/>
            <w:r w:rsidRPr="001D0AC2">
              <w:rPr>
                <w:rFonts w:ascii="Arial" w:eastAsia="標楷體" w:hAnsi="Arial" w:cs="Arial"/>
                <w:sz w:val="28"/>
                <w:szCs w:val="28"/>
              </w:rPr>
              <w:t>、大美國際文化創意事業有限公司、東埔</w:t>
            </w:r>
            <w:proofErr w:type="gramStart"/>
            <w:r w:rsidRPr="001D0AC2">
              <w:rPr>
                <w:rFonts w:ascii="Arial" w:eastAsia="標楷體" w:hAnsi="Arial" w:cs="Arial"/>
                <w:sz w:val="28"/>
                <w:szCs w:val="28"/>
              </w:rPr>
              <w:t>蚋</w:t>
            </w:r>
            <w:proofErr w:type="gramEnd"/>
            <w:r w:rsidRPr="001D0AC2">
              <w:rPr>
                <w:rFonts w:ascii="Arial" w:eastAsia="標楷體" w:hAnsi="Arial" w:cs="Arial"/>
                <w:sz w:val="28"/>
                <w:szCs w:val="28"/>
              </w:rPr>
              <w:t>溪環境生態保護協會、</w:t>
            </w:r>
            <w:proofErr w:type="gramStart"/>
            <w:r w:rsidRPr="001D0AC2">
              <w:rPr>
                <w:rFonts w:ascii="Arial" w:eastAsia="標楷體" w:hAnsi="Arial" w:cs="Arial"/>
                <w:sz w:val="28"/>
                <w:szCs w:val="28"/>
              </w:rPr>
              <w:t>清境永續</w:t>
            </w:r>
            <w:proofErr w:type="gramEnd"/>
            <w:r w:rsidRPr="001D0AC2">
              <w:rPr>
                <w:rFonts w:ascii="Arial" w:eastAsia="標楷體" w:hAnsi="Arial" w:cs="Arial"/>
                <w:sz w:val="28"/>
                <w:szCs w:val="28"/>
              </w:rPr>
              <w:t>發展協會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等多元單位，積極推廣縣內</w:t>
            </w:r>
            <w:r w:rsidRPr="001D0AC2">
              <w:rPr>
                <w:rFonts w:ascii="Arial" w:eastAsia="標楷體" w:hAnsi="Arial" w:cs="Arial"/>
                <w:sz w:val="28"/>
                <w:szCs w:val="28"/>
              </w:rPr>
              <w:t>「</w:t>
            </w:r>
            <w:proofErr w:type="gramStart"/>
            <w:r w:rsidRPr="001D0AC2">
              <w:rPr>
                <w:rFonts w:ascii="Arial" w:eastAsia="標楷體" w:hAnsi="Arial" w:cs="Arial"/>
                <w:sz w:val="28"/>
                <w:szCs w:val="28"/>
              </w:rPr>
              <w:t>跨域治理</w:t>
            </w:r>
            <w:proofErr w:type="gramEnd"/>
            <w:r w:rsidRPr="001D0AC2">
              <w:rPr>
                <w:rFonts w:ascii="Arial" w:eastAsia="標楷體" w:hAnsi="Arial" w:cs="Arial"/>
                <w:sz w:val="28"/>
                <w:szCs w:val="28"/>
              </w:rPr>
              <w:t>」、「環境教育」、「</w:t>
            </w:r>
            <w:proofErr w:type="gramStart"/>
            <w:r w:rsidRPr="001D0AC2">
              <w:rPr>
                <w:rFonts w:ascii="Arial" w:eastAsia="標楷體" w:hAnsi="Arial" w:cs="Arial"/>
                <w:sz w:val="28"/>
                <w:szCs w:val="28"/>
              </w:rPr>
              <w:t>食農教育</w:t>
            </w:r>
            <w:proofErr w:type="gramEnd"/>
            <w:r w:rsidRPr="001D0AC2">
              <w:rPr>
                <w:rFonts w:ascii="Arial" w:eastAsia="標楷體" w:hAnsi="Arial" w:cs="Arial"/>
                <w:sz w:val="28"/>
                <w:szCs w:val="28"/>
              </w:rPr>
              <w:t>」、「日常永續生活知識學習」、「高齡友善及樂活學習」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等，均呈現亮點特色，促進民眾終身學習。</w:t>
            </w:r>
          </w:p>
        </w:tc>
      </w:tr>
    </w:tbl>
    <w:p w:rsidR="005744FD" w:rsidRPr="00345F03" w:rsidRDefault="005744FD">
      <w:bookmarkStart w:id="0" w:name="_GoBack"/>
      <w:bookmarkEnd w:id="0"/>
    </w:p>
    <w:sectPr w:rsidR="005744FD" w:rsidRPr="00345F03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3"/>
    <w:rsid w:val="00300DFE"/>
    <w:rsid w:val="00345F03"/>
    <w:rsid w:val="005744FD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60060-5C1B-45F4-BC63-E5BC7035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2023-10-11T07:03:00Z</dcterms:created>
  <dcterms:modified xsi:type="dcterms:W3CDTF">2023-10-11T07:04:00Z</dcterms:modified>
</cp:coreProperties>
</file>