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0A" w:rsidRPr="00656055" w:rsidRDefault="005A5A0A" w:rsidP="005A5A0A">
      <w:pPr>
        <w:widowControl/>
        <w:jc w:val="both"/>
        <w:rPr>
          <w:rFonts w:ascii="標楷體" w:eastAsia="標楷體" w:hAnsi="標楷體"/>
        </w:rPr>
      </w:pPr>
    </w:p>
    <w:p w:rsidR="005A5A0A" w:rsidRPr="00656055" w:rsidRDefault="005A5A0A" w:rsidP="005A5A0A">
      <w:pPr>
        <w:widowControl/>
        <w:jc w:val="both"/>
        <w:rPr>
          <w:rFonts w:ascii="標楷體" w:eastAsia="標楷體" w:hAnsi="標楷體"/>
        </w:rPr>
      </w:pPr>
    </w:p>
    <w:p w:rsidR="005A5A0A" w:rsidRPr="00656055" w:rsidRDefault="005A5A0A" w:rsidP="005A5A0A">
      <w:pPr>
        <w:widowControl/>
        <w:jc w:val="both"/>
        <w:rPr>
          <w:rFonts w:ascii="標楷體" w:eastAsia="標楷體" w:hAnsi="標楷體"/>
        </w:rPr>
      </w:pPr>
    </w:p>
    <w:p w:rsidR="005A5A0A" w:rsidRPr="00656055" w:rsidRDefault="005A5A0A" w:rsidP="005A5A0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605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-482600</wp:posOffset>
                </wp:positionV>
                <wp:extent cx="800100" cy="342900"/>
                <wp:effectExtent l="10160" t="18415" r="1841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0A" w:rsidRDefault="005A5A0A" w:rsidP="005A5A0A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附件1</w:t>
                            </w:r>
                          </w:p>
                          <w:p w:rsidR="005A5A0A" w:rsidRDefault="005A5A0A" w:rsidP="005A5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4pt;margin-top:-38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" strokeweight="1.5pt">
                <v:textbox>
                  <w:txbxContent>
                    <w:p w:rsidR="005A5A0A" w:rsidRDefault="005A5A0A" w:rsidP="005A5A0A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附件1</w:t>
                      </w:r>
                    </w:p>
                    <w:p w:rsidR="005A5A0A" w:rsidRDefault="005A5A0A" w:rsidP="005A5A0A"/>
                  </w:txbxContent>
                </v:textbox>
                <w10:anchorlock/>
              </v:shape>
            </w:pict>
          </mc:Fallback>
        </mc:AlternateContent>
      </w:r>
      <w:r w:rsidRPr="00656055">
        <w:rPr>
          <w:rFonts w:ascii="標楷體" w:eastAsia="標楷體" w:hAnsi="標楷體"/>
          <w:b/>
          <w:sz w:val="32"/>
          <w:szCs w:val="32"/>
        </w:rPr>
        <w:t>103學年度全國大學校院智慧電子整合性人才培育相關競賽</w:t>
      </w:r>
    </w:p>
    <w:p w:rsidR="005A5A0A" w:rsidRPr="00656055" w:rsidRDefault="005A5A0A" w:rsidP="005A5A0A">
      <w:pPr>
        <w:adjustRightInd w:val="0"/>
        <w:snapToGrid w:val="0"/>
        <w:spacing w:beforeLines="25" w:before="60"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56055">
        <w:rPr>
          <w:rFonts w:ascii="標楷體" w:eastAsia="標楷體" w:hAnsi="標楷體"/>
          <w:b/>
          <w:bCs/>
          <w:sz w:val="32"/>
          <w:szCs w:val="32"/>
        </w:rPr>
        <w:t>聯合頒獎</w:t>
      </w:r>
      <w:r w:rsidRPr="00656055">
        <w:rPr>
          <w:rFonts w:ascii="標楷體" w:eastAsia="標楷體" w:hAnsi="標楷體" w:hint="eastAsia"/>
          <w:b/>
          <w:bCs/>
          <w:sz w:val="32"/>
          <w:szCs w:val="32"/>
        </w:rPr>
        <w:t>典禮</w:t>
      </w:r>
    </w:p>
    <w:p w:rsidR="005A5A0A" w:rsidRPr="00656055" w:rsidRDefault="005A5A0A" w:rsidP="005A5A0A">
      <w:pPr>
        <w:snapToGrid w:val="0"/>
        <w:spacing w:beforeLines="50" w:before="120"/>
        <w:ind w:leftChars="300" w:left="720"/>
        <w:jc w:val="both"/>
        <w:rPr>
          <w:rFonts w:ascii="標楷體" w:eastAsia="標楷體" w:hAnsi="標楷體"/>
          <w:bCs/>
          <w:sz w:val="26"/>
          <w:szCs w:val="26"/>
        </w:rPr>
      </w:pPr>
      <w:r w:rsidRPr="00656055">
        <w:rPr>
          <w:rFonts w:ascii="標楷體" w:eastAsia="標楷體" w:hAnsi="標楷體"/>
          <w:bCs/>
          <w:sz w:val="26"/>
          <w:szCs w:val="26"/>
        </w:rPr>
        <w:t>指導單位：</w:t>
      </w:r>
      <w:r w:rsidRPr="00656055">
        <w:rPr>
          <w:rFonts w:ascii="標楷體" w:eastAsia="標楷體" w:hAnsi="標楷體"/>
          <w:sz w:val="26"/>
          <w:szCs w:val="26"/>
        </w:rPr>
        <w:t>教育部資訊及科技教育司</w:t>
      </w:r>
      <w:r w:rsidRPr="00656055">
        <w:rPr>
          <w:rFonts w:ascii="標楷體" w:eastAsia="標楷體" w:hAnsi="標楷體"/>
          <w:bCs/>
          <w:sz w:val="26"/>
          <w:szCs w:val="26"/>
        </w:rPr>
        <w:t xml:space="preserve"> </w:t>
      </w:r>
    </w:p>
    <w:p w:rsidR="005A5A0A" w:rsidRPr="00656055" w:rsidRDefault="005A5A0A" w:rsidP="005A5A0A">
      <w:pPr>
        <w:snapToGrid w:val="0"/>
        <w:spacing w:beforeLines="25" w:before="60"/>
        <w:ind w:leftChars="300" w:left="2056" w:hangingChars="514" w:hanging="1336"/>
        <w:jc w:val="both"/>
        <w:rPr>
          <w:rFonts w:ascii="標楷體" w:eastAsia="標楷體" w:hAnsi="標楷體" w:hint="eastAsia"/>
          <w:sz w:val="26"/>
          <w:szCs w:val="26"/>
        </w:rPr>
      </w:pPr>
      <w:r w:rsidRPr="00656055">
        <w:rPr>
          <w:rFonts w:ascii="標楷體" w:eastAsia="標楷體" w:hAnsi="標楷體"/>
          <w:bCs/>
          <w:sz w:val="26"/>
          <w:szCs w:val="26"/>
        </w:rPr>
        <w:t>主辦單位：</w:t>
      </w:r>
      <w:r w:rsidRPr="00656055">
        <w:rPr>
          <w:rFonts w:ascii="標楷體" w:eastAsia="標楷體" w:hAnsi="標楷體"/>
          <w:sz w:val="26"/>
          <w:szCs w:val="26"/>
        </w:rPr>
        <w:t>教育部智慧電子整合性人才培育計畫總聯盟</w:t>
      </w:r>
    </w:p>
    <w:p w:rsidR="005A5A0A" w:rsidRPr="00656055" w:rsidRDefault="005A5A0A" w:rsidP="005A5A0A">
      <w:pPr>
        <w:snapToGrid w:val="0"/>
        <w:spacing w:beforeLines="15" w:before="36"/>
        <w:ind w:leftChars="300" w:left="720"/>
        <w:jc w:val="both"/>
        <w:rPr>
          <w:rFonts w:ascii="標楷體" w:eastAsia="標楷體" w:hAnsi="標楷體"/>
          <w:bCs/>
          <w:sz w:val="26"/>
          <w:szCs w:val="26"/>
        </w:rPr>
      </w:pPr>
      <w:r w:rsidRPr="00656055">
        <w:rPr>
          <w:rFonts w:ascii="標楷體" w:eastAsia="標楷體" w:hAnsi="標楷體"/>
          <w:bCs/>
          <w:sz w:val="26"/>
          <w:szCs w:val="26"/>
        </w:rPr>
        <w:t>時間：104年7月9日(</w:t>
      </w:r>
      <w:r w:rsidRPr="00656055">
        <w:rPr>
          <w:rFonts w:ascii="標楷體" w:eastAsia="標楷體" w:hAnsi="標楷體" w:hint="eastAsia"/>
          <w:bCs/>
          <w:sz w:val="26"/>
          <w:szCs w:val="26"/>
        </w:rPr>
        <w:t>四</w:t>
      </w:r>
      <w:r w:rsidRPr="00656055">
        <w:rPr>
          <w:rFonts w:ascii="標楷體" w:eastAsia="標楷體" w:hAnsi="標楷體"/>
          <w:bCs/>
          <w:sz w:val="26"/>
          <w:szCs w:val="26"/>
        </w:rPr>
        <w:t>) 1</w:t>
      </w:r>
      <w:r w:rsidRPr="00656055">
        <w:rPr>
          <w:rFonts w:ascii="標楷體" w:eastAsia="標楷體" w:hAnsi="標楷體" w:hint="eastAsia"/>
          <w:bCs/>
          <w:sz w:val="26"/>
          <w:szCs w:val="26"/>
        </w:rPr>
        <w:t>3</w:t>
      </w:r>
      <w:r w:rsidRPr="00656055">
        <w:rPr>
          <w:rFonts w:ascii="標楷體" w:eastAsia="標楷體" w:hAnsi="標楷體"/>
          <w:bCs/>
          <w:sz w:val="26"/>
          <w:szCs w:val="26"/>
        </w:rPr>
        <w:t>:</w:t>
      </w:r>
      <w:r w:rsidRPr="00656055">
        <w:rPr>
          <w:rFonts w:ascii="標楷體" w:eastAsia="標楷體" w:hAnsi="標楷體" w:hint="eastAsia"/>
          <w:bCs/>
          <w:sz w:val="26"/>
          <w:szCs w:val="26"/>
        </w:rPr>
        <w:t>3</w:t>
      </w:r>
      <w:r w:rsidRPr="00656055">
        <w:rPr>
          <w:rFonts w:ascii="標楷體" w:eastAsia="標楷體" w:hAnsi="標楷體"/>
          <w:bCs/>
          <w:sz w:val="26"/>
          <w:szCs w:val="26"/>
        </w:rPr>
        <w:t>0~1</w:t>
      </w:r>
      <w:r w:rsidRPr="00656055">
        <w:rPr>
          <w:rFonts w:ascii="標楷體" w:eastAsia="標楷體" w:hAnsi="標楷體" w:hint="eastAsia"/>
          <w:bCs/>
          <w:sz w:val="26"/>
          <w:szCs w:val="26"/>
        </w:rPr>
        <w:t>6</w:t>
      </w:r>
      <w:r w:rsidRPr="00656055">
        <w:rPr>
          <w:rFonts w:ascii="標楷體" w:eastAsia="標楷體" w:hAnsi="標楷體"/>
          <w:bCs/>
          <w:sz w:val="26"/>
          <w:szCs w:val="26"/>
        </w:rPr>
        <w:t>:</w:t>
      </w:r>
      <w:r w:rsidRPr="00656055">
        <w:rPr>
          <w:rFonts w:ascii="標楷體" w:eastAsia="標楷體" w:hAnsi="標楷體" w:hint="eastAsia"/>
          <w:bCs/>
          <w:sz w:val="26"/>
          <w:szCs w:val="26"/>
        </w:rPr>
        <w:t>3</w:t>
      </w:r>
      <w:r w:rsidRPr="00656055">
        <w:rPr>
          <w:rFonts w:ascii="標楷體" w:eastAsia="標楷體" w:hAnsi="標楷體"/>
          <w:bCs/>
          <w:sz w:val="26"/>
          <w:szCs w:val="26"/>
        </w:rPr>
        <w:t>0</w:t>
      </w:r>
    </w:p>
    <w:p w:rsidR="005A5A0A" w:rsidRPr="00656055" w:rsidRDefault="005A5A0A" w:rsidP="005A5A0A">
      <w:pPr>
        <w:snapToGrid w:val="0"/>
        <w:spacing w:beforeLines="15" w:before="36" w:afterLines="100" w:after="240"/>
        <w:ind w:firstLineChars="272" w:firstLine="707"/>
        <w:jc w:val="both"/>
        <w:rPr>
          <w:rFonts w:ascii="標楷體" w:eastAsia="標楷體" w:hAnsi="標楷體"/>
          <w:bCs/>
          <w:sz w:val="26"/>
          <w:szCs w:val="26"/>
        </w:rPr>
      </w:pPr>
      <w:r w:rsidRPr="00656055">
        <w:rPr>
          <w:rFonts w:ascii="標楷體" w:eastAsia="標楷體" w:hAnsi="標楷體"/>
          <w:bCs/>
          <w:sz w:val="26"/>
          <w:szCs w:val="26"/>
        </w:rPr>
        <w:t>地點：</w:t>
      </w:r>
      <w:r w:rsidRPr="00656055">
        <w:rPr>
          <w:rFonts w:ascii="標楷體" w:eastAsia="標楷體" w:hAnsi="標楷體" w:hint="eastAsia"/>
          <w:bCs/>
          <w:sz w:val="26"/>
          <w:szCs w:val="26"/>
        </w:rPr>
        <w:t>臺灣大學法律學院</w:t>
      </w:r>
      <w:proofErr w:type="gramStart"/>
      <w:r w:rsidRPr="00656055">
        <w:rPr>
          <w:rFonts w:ascii="標楷體" w:eastAsia="標楷體" w:hAnsi="標楷體" w:hint="eastAsia"/>
          <w:bCs/>
          <w:sz w:val="26"/>
          <w:szCs w:val="26"/>
        </w:rPr>
        <w:t>霖澤館</w:t>
      </w:r>
      <w:proofErr w:type="gramEnd"/>
      <w:r w:rsidRPr="00656055">
        <w:rPr>
          <w:rFonts w:ascii="標楷體" w:eastAsia="標楷體" w:hAnsi="標楷體" w:hint="eastAsia"/>
          <w:bCs/>
          <w:sz w:val="26"/>
          <w:szCs w:val="26"/>
        </w:rPr>
        <w:t>1F 國際會議廳</w:t>
      </w:r>
    </w:p>
    <w:tbl>
      <w:tblPr>
        <w:tblW w:w="91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765"/>
        <w:gridCol w:w="2693"/>
      </w:tblGrid>
      <w:tr w:rsidR="005A5A0A" w:rsidRPr="00656055" w:rsidTr="0053239C">
        <w:trPr>
          <w:trHeight w:val="34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時</w:t>
            </w: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間</w:t>
            </w:r>
          </w:p>
        </w:tc>
        <w:tc>
          <w:tcPr>
            <w:tcW w:w="74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議</w:t>
            </w: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程</w:t>
            </w:r>
          </w:p>
        </w:tc>
      </w:tr>
      <w:tr w:rsidR="005A5A0A" w:rsidRPr="00656055" w:rsidTr="0053239C">
        <w:trPr>
          <w:trHeight w:val="7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13:00-13:30</w:t>
            </w: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報到</w:t>
            </w:r>
          </w:p>
        </w:tc>
      </w:tr>
      <w:tr w:rsidR="005A5A0A" w:rsidRPr="00656055" w:rsidTr="0053239C">
        <w:trPr>
          <w:trHeight w:val="251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13:30-14:00</w:t>
            </w: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得獎作品觀摩</w:t>
            </w:r>
          </w:p>
        </w:tc>
      </w:tr>
      <w:tr w:rsidR="005A5A0A" w:rsidRPr="00656055" w:rsidTr="0053239C">
        <w:trPr>
          <w:trHeight w:val="7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14:00-14:10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開幕式</w:t>
            </w:r>
            <w:r w:rsidRPr="006560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/ 競賽名人堂介紹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主持人：</w:t>
            </w: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br/>
            </w:r>
            <w:r w:rsidRPr="006560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吳安宇</w:t>
            </w: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教授</w:t>
            </w:r>
          </w:p>
        </w:tc>
      </w:tr>
      <w:tr w:rsidR="005A5A0A" w:rsidRPr="00656055" w:rsidTr="0053239C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0A" w:rsidRPr="00656055" w:rsidRDefault="005A5A0A" w:rsidP="0053239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貴賓致詞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5A0A" w:rsidRPr="00656055" w:rsidRDefault="005A5A0A" w:rsidP="0053239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5A5A0A" w:rsidRPr="00656055" w:rsidTr="0053239C">
        <w:trPr>
          <w:trHeight w:val="942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1</w:t>
            </w:r>
            <w:r w:rsidRPr="00656055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4</w:t>
            </w: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:10-1</w:t>
            </w:r>
            <w:r w:rsidRPr="00656055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5:00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Keynote Speech</w:t>
            </w:r>
            <w:r w:rsidRPr="006560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proofErr w:type="gramStart"/>
            <w:r w:rsidRPr="006560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物聯網</w:t>
            </w:r>
            <w:proofErr w:type="gramEnd"/>
            <w:r w:rsidRPr="006560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的挑戰與旺宏產品研發之創新</w:t>
            </w:r>
          </w:p>
          <w:p w:rsidR="005A5A0A" w:rsidRPr="00656055" w:rsidRDefault="005A5A0A" w:rsidP="0053239C">
            <w:pPr>
              <w:widowControl/>
              <w:jc w:val="both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6560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旺宏電子吳敏求董事長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主持人：</w:t>
            </w:r>
          </w:p>
          <w:p w:rsidR="005A5A0A" w:rsidRPr="00656055" w:rsidRDefault="005A5A0A" w:rsidP="0053239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吳安宇</w:t>
            </w: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教授</w:t>
            </w:r>
          </w:p>
        </w:tc>
      </w:tr>
      <w:tr w:rsidR="005A5A0A" w:rsidRPr="00656055" w:rsidTr="0053239C">
        <w:trPr>
          <w:trHeight w:val="382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1</w:t>
            </w:r>
            <w:r w:rsidRPr="00656055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5</w:t>
            </w: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:0</w:t>
            </w:r>
            <w:r w:rsidRPr="00656055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0</w:t>
            </w: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-1</w:t>
            </w:r>
            <w:r w:rsidRPr="00656055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6</w:t>
            </w: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:30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競賽聯合頒獎典禮</w:t>
            </w:r>
            <w:r w:rsidRPr="0065605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 xml:space="preserve"> &amp; </w:t>
            </w:r>
            <w:r w:rsidRPr="00656055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貴賓合影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kern w:val="0"/>
                <w:sz w:val="26"/>
                <w:szCs w:val="26"/>
              </w:rPr>
              <w:t>頒獎人：貴賓</w:t>
            </w:r>
          </w:p>
        </w:tc>
      </w:tr>
      <w:tr w:rsidR="005A5A0A" w:rsidRPr="00656055" w:rsidTr="0053239C">
        <w:trPr>
          <w:trHeight w:val="88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16:</w:t>
            </w:r>
            <w:r w:rsidRPr="00656055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3</w:t>
            </w:r>
            <w:r w:rsidRPr="00656055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0~</w:t>
            </w: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5A0A" w:rsidRPr="00656055" w:rsidRDefault="005A5A0A" w:rsidP="0053239C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656055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得獎作品觀摩與</w:t>
            </w:r>
            <w:r w:rsidRPr="0065605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點心享用</w:t>
            </w:r>
          </w:p>
        </w:tc>
      </w:tr>
    </w:tbl>
    <w:p w:rsidR="005A5A0A" w:rsidRPr="00656055" w:rsidRDefault="005A5A0A" w:rsidP="005A5A0A">
      <w:pPr>
        <w:rPr>
          <w:rFonts w:ascii="標楷體" w:eastAsia="標楷體" w:hAnsi="標楷體"/>
          <w:sz w:val="16"/>
          <w:szCs w:val="16"/>
        </w:rPr>
      </w:pPr>
    </w:p>
    <w:p w:rsidR="00CA79E4" w:rsidRPr="005A5A0A" w:rsidRDefault="00CA79E4">
      <w:bookmarkStart w:id="0" w:name="_GoBack"/>
      <w:bookmarkEnd w:id="0"/>
    </w:p>
    <w:sectPr w:rsidR="00CA79E4" w:rsidRPr="005A5A0A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0A"/>
    <w:rsid w:val="005A5A0A"/>
    <w:rsid w:val="006479E0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08C11-E13D-460A-B18C-CFC65C9A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2015-07-09T02:38:00Z</dcterms:created>
  <dcterms:modified xsi:type="dcterms:W3CDTF">2015-07-09T02:38:00Z</dcterms:modified>
</cp:coreProperties>
</file>