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1" w:type="dxa"/>
        <w:tblInd w:w="13" w:type="dxa"/>
        <w:tblCellMar>
          <w:left w:w="10" w:type="dxa"/>
          <w:right w:w="10" w:type="dxa"/>
        </w:tblCellMar>
        <w:tblLook w:val="0000" w:firstRow="0" w:lastRow="0" w:firstColumn="0" w:lastColumn="0" w:noHBand="0" w:noVBand="0"/>
      </w:tblPr>
      <w:tblGrid>
        <w:gridCol w:w="1008"/>
        <w:gridCol w:w="1797"/>
        <w:gridCol w:w="1716"/>
        <w:gridCol w:w="30"/>
        <w:gridCol w:w="3240"/>
        <w:gridCol w:w="21"/>
        <w:gridCol w:w="1685"/>
        <w:gridCol w:w="16"/>
        <w:gridCol w:w="5528"/>
      </w:tblGrid>
      <w:tr w:rsidR="00CF630F" w:rsidTr="00603F76">
        <w:trPr>
          <w:trHeight w:val="949"/>
          <w:tblHeader/>
        </w:trPr>
        <w:tc>
          <w:tcPr>
            <w:tcW w:w="1008" w:type="dxa"/>
            <w:tcBorders>
              <w:top w:val="single" w:sz="4" w:space="0" w:color="000000"/>
              <w:left w:val="single" w:sz="4" w:space="0" w:color="000000"/>
              <w:bottom w:val="single" w:sz="4" w:space="0" w:color="000000"/>
              <w:right w:val="single" w:sz="4" w:space="0" w:color="000000"/>
            </w:tcBorders>
            <w:shd w:val="clear" w:color="auto" w:fill="D8D8D8"/>
            <w:noWrap/>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NO.</w:t>
            </w:r>
          </w:p>
        </w:tc>
        <w:tc>
          <w:tcPr>
            <w:tcW w:w="1797" w:type="dxa"/>
            <w:tcBorders>
              <w:top w:val="single" w:sz="4" w:space="0" w:color="000000"/>
              <w:left w:val="single" w:sz="4" w:space="0" w:color="000000"/>
              <w:bottom w:val="single" w:sz="4" w:space="0" w:color="000000"/>
              <w:right w:val="single" w:sz="4" w:space="0" w:color="000000"/>
            </w:tcBorders>
            <w:shd w:val="clear" w:color="auto" w:fill="D8D8D8"/>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獎項</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D8D8D8"/>
            <w:noWrap/>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獲獎人</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D8D8D8"/>
            <w:noWrap/>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畢業學校及系所名稱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F630F" w:rsidRDefault="00CF630F" w:rsidP="009909B9">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指導教授</w:t>
            </w:r>
          </w:p>
        </w:tc>
        <w:tc>
          <w:tcPr>
            <w:tcW w:w="5528" w:type="dxa"/>
            <w:tcBorders>
              <w:top w:val="single" w:sz="4" w:space="0" w:color="000000"/>
              <w:left w:val="single" w:sz="4" w:space="0" w:color="000000"/>
              <w:bottom w:val="single" w:sz="4" w:space="0" w:color="000000"/>
              <w:right w:val="single" w:sz="4" w:space="0" w:color="000000"/>
            </w:tcBorders>
            <w:shd w:val="clear" w:color="auto" w:fill="D8D8D8"/>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論文名稱</w:t>
            </w:r>
          </w:p>
        </w:tc>
      </w:tr>
      <w:tr w:rsidR="00CF630F" w:rsidTr="00CF630F">
        <w:trPr>
          <w:trHeight w:val="949"/>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1</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優秀博士論文獎(教師組第一名)</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 xml:space="preserve">阮孝齊博士   </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國立臺灣師範大學教育學系</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王麗雲教授</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從縣市行動者觀點探討學習共同體政策擴散之研究</w:t>
            </w:r>
          </w:p>
        </w:tc>
      </w:tr>
      <w:tr w:rsidR="00CF630F" w:rsidTr="00CF630F">
        <w:trPr>
          <w:trHeight w:val="949"/>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2</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優秀碩士論文獎(教師組第一名)</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張蕙玲碩士</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國立新竹教育大學教育心理與</w:t>
            </w:r>
            <w:proofErr w:type="gramStart"/>
            <w:r>
              <w:rPr>
                <w:rFonts w:ascii="華康中圓體" w:eastAsia="華康中圓體" w:hAnsi="華康中圓體" w:cs="新細明體"/>
                <w:color w:val="000000"/>
                <w:kern w:val="0"/>
                <w:szCs w:val="24"/>
              </w:rPr>
              <w:t>諮</w:t>
            </w:r>
            <w:proofErr w:type="gramEnd"/>
            <w:r>
              <w:rPr>
                <w:rFonts w:ascii="華康中圓體" w:eastAsia="華康中圓體" w:hAnsi="華康中圓體" w:cs="新細明體"/>
                <w:color w:val="000000"/>
                <w:kern w:val="0"/>
                <w:szCs w:val="24"/>
              </w:rPr>
              <w:t>商學系碩士學位在職進修班</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古明峰教授</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國中學生數學科學習焦慮及自我調整效能與學業拖延行為之相關研究</w:t>
            </w:r>
          </w:p>
        </w:tc>
      </w:tr>
      <w:tr w:rsidR="00CF630F" w:rsidTr="00CF630F">
        <w:trPr>
          <w:trHeight w:val="949"/>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3</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優秀碩士論文獎(教師組第二名)</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黃于真碩士</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新竹教育大學教育與學習科技學系課程與教學碩士在職專班</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陳美如教授</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差異教學對國中學生數學學習成效影響之研究</w:t>
            </w:r>
          </w:p>
        </w:tc>
      </w:tr>
      <w:tr w:rsidR="00CF630F" w:rsidTr="00CF630F">
        <w:trPr>
          <w:trHeight w:val="949"/>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4</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優秀碩士論文獎(師資生第一名)</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劉沛</w:t>
            </w:r>
            <w:proofErr w:type="gramStart"/>
            <w:r>
              <w:rPr>
                <w:rFonts w:ascii="華康中圓體" w:eastAsia="華康中圓體" w:hAnsi="華康中圓體" w:cs="新細明體"/>
                <w:color w:val="000000"/>
                <w:kern w:val="0"/>
                <w:szCs w:val="24"/>
              </w:rPr>
              <w:t>妏</w:t>
            </w:r>
            <w:proofErr w:type="gramEnd"/>
            <w:r>
              <w:rPr>
                <w:rFonts w:ascii="華康中圓體" w:eastAsia="華康中圓體" w:hAnsi="華康中圓體" w:cs="新細明體"/>
                <w:color w:val="000000"/>
                <w:kern w:val="0"/>
                <w:szCs w:val="24"/>
              </w:rPr>
              <w:t>碩士</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國立彰化師範大學科學教育研究所</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秦爾聰教授</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發展師徒制模式促進國中數學教師探究教學知識之個案研究</w:t>
            </w:r>
          </w:p>
        </w:tc>
      </w:tr>
      <w:tr w:rsidR="00CF630F" w:rsidTr="00CF630F">
        <w:trPr>
          <w:trHeight w:val="949"/>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5</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優秀碩士論文獎(師資生第二名)</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鄭詠文碩士</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海洋大學教育研究所</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張芝萱教授</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國民中學班級導師融合教育專業</w:t>
            </w:r>
            <w:proofErr w:type="gramStart"/>
            <w:r>
              <w:rPr>
                <w:rFonts w:ascii="標楷體" w:eastAsia="標楷體" w:hAnsi="標楷體" w:cs="新細明體"/>
                <w:color w:val="000000"/>
                <w:kern w:val="0"/>
                <w:szCs w:val="24"/>
              </w:rPr>
              <w:t>踐行</w:t>
            </w:r>
            <w:proofErr w:type="gramEnd"/>
            <w:r>
              <w:rPr>
                <w:rFonts w:ascii="標楷體" w:eastAsia="標楷體" w:hAnsi="標楷體" w:cs="新細明體"/>
                <w:color w:val="000000"/>
                <w:kern w:val="0"/>
                <w:szCs w:val="24"/>
              </w:rPr>
              <w:t>之研究～以基隆市為例</w:t>
            </w:r>
          </w:p>
        </w:tc>
      </w:tr>
      <w:tr w:rsidR="00CF630F" w:rsidTr="00CF630F">
        <w:trPr>
          <w:trHeight w:val="949"/>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6</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博士論文佳作</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陳月雲博士</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w:t>
            </w:r>
            <w:proofErr w:type="gramStart"/>
            <w:r>
              <w:rPr>
                <w:rFonts w:ascii="華康中圓體" w:eastAsia="華康中圓體" w:hAnsi="華康中圓體" w:cs="新細明體"/>
                <w:color w:val="000000"/>
                <w:kern w:val="0"/>
                <w:szCs w:val="24"/>
              </w:rPr>
              <w:t>臺</w:t>
            </w:r>
            <w:proofErr w:type="gramEnd"/>
            <w:r>
              <w:rPr>
                <w:rFonts w:ascii="華康中圓體" w:eastAsia="華康中圓體" w:hAnsi="華康中圓體" w:cs="新細明體"/>
                <w:color w:val="000000"/>
                <w:kern w:val="0"/>
                <w:szCs w:val="24"/>
              </w:rPr>
              <w:t>北教育大學自然科學教育學系</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 xml:space="preserve">盧秀琴教授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發展國小奈米科技POE教學模組</w:t>
            </w:r>
            <w:proofErr w:type="gramStart"/>
            <w:r>
              <w:rPr>
                <w:rFonts w:ascii="標楷體" w:eastAsia="標楷體" w:hAnsi="標楷體" w:cs="新細明體"/>
                <w:color w:val="000000"/>
                <w:kern w:val="0"/>
                <w:szCs w:val="24"/>
              </w:rPr>
              <w:t>—</w:t>
            </w:r>
            <w:proofErr w:type="gramEnd"/>
            <w:r>
              <w:rPr>
                <w:rFonts w:ascii="標楷體" w:eastAsia="標楷體" w:hAnsi="標楷體" w:cs="新細明體"/>
                <w:color w:val="000000"/>
                <w:kern w:val="0"/>
                <w:szCs w:val="24"/>
              </w:rPr>
              <w:t>以蓮葉效應為例</w:t>
            </w:r>
          </w:p>
        </w:tc>
      </w:tr>
      <w:tr w:rsidR="00CF630F" w:rsidTr="00CF630F">
        <w:trPr>
          <w:trHeight w:val="949"/>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7</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博士論文佳作</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proofErr w:type="gramStart"/>
            <w:r>
              <w:rPr>
                <w:rFonts w:ascii="華康中圓體" w:eastAsia="華康中圓體" w:hAnsi="華康中圓體" w:cs="新細明體"/>
                <w:color w:val="000000"/>
                <w:kern w:val="0"/>
                <w:szCs w:val="24"/>
              </w:rPr>
              <w:t>斯偉義</w:t>
            </w:r>
            <w:proofErr w:type="gramEnd"/>
            <w:r>
              <w:rPr>
                <w:rFonts w:ascii="華康中圓體" w:eastAsia="華康中圓體" w:hAnsi="華康中圓體" w:cs="新細明體"/>
                <w:color w:val="000000"/>
                <w:kern w:val="0"/>
                <w:szCs w:val="24"/>
              </w:rPr>
              <w:t>博士</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國立東華大學教育與潛能開發學系</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饒見維教授</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我國教師執照及執照更新制度（教執制度）建構之研究</w:t>
            </w:r>
          </w:p>
        </w:tc>
      </w:tr>
      <w:tr w:rsidR="00CF630F" w:rsidTr="00CF630F">
        <w:trPr>
          <w:trHeight w:val="949"/>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8</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博士論文佳作</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余忠潔博士</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國立彰化師範大學科學教育研究所</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段曉林講座教授</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以MAIT網站促進科學教師探究教學能力之專業成長</w:t>
            </w:r>
          </w:p>
        </w:tc>
      </w:tr>
      <w:tr w:rsidR="00CF630F" w:rsidTr="00603F76">
        <w:trPr>
          <w:trHeight w:val="870"/>
        </w:trPr>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lastRenderedPageBreak/>
              <w:t>9</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碩士論文佳作</w:t>
            </w:r>
          </w:p>
        </w:tc>
        <w:tc>
          <w:tcPr>
            <w:tcW w:w="17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楊書瑜碩士</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F630F" w:rsidRDefault="00CF630F" w:rsidP="00CF630F">
            <w:pPr>
              <w:widowControl/>
              <w:spacing w:line="240" w:lineRule="auto"/>
              <w:ind w:leftChars="-21" w:hangingChars="21" w:hanging="5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國立彰化師範大學物理學系</w:t>
            </w: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林建隆教授</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30F" w:rsidRDefault="00CF630F" w:rsidP="00CF630F">
            <w:pPr>
              <w:widowControl/>
              <w:spacing w:line="240" w:lineRule="auto"/>
              <w:ind w:leftChars="-30" w:left="-72" w:firstLineChars="6" w:firstLine="14"/>
              <w:jc w:val="left"/>
            </w:pPr>
            <w:r>
              <w:rPr>
                <w:rFonts w:ascii="標楷體" w:eastAsia="標楷體" w:hAnsi="標楷體" w:cs="新細明體"/>
                <w:color w:val="000000"/>
                <w:kern w:val="0"/>
                <w:szCs w:val="24"/>
              </w:rPr>
              <w:t>補救教學設計原則融入5E探究對低成就學生學習動機與成效之</w:t>
            </w:r>
            <w:proofErr w:type="gramStart"/>
            <w:r>
              <w:rPr>
                <w:rFonts w:ascii="標楷體" w:eastAsia="標楷體" w:hAnsi="標楷體" w:cs="新細明體"/>
                <w:color w:val="000000"/>
                <w:kern w:val="0"/>
                <w:szCs w:val="24"/>
              </w:rPr>
              <w:t>影響－以</w:t>
            </w:r>
            <w:proofErr w:type="gramEnd"/>
            <w:r>
              <w:rPr>
                <w:rFonts w:ascii="標楷體" w:eastAsia="標楷體" w:hAnsi="標楷體" w:cs="新細明體"/>
                <w:color w:val="000000"/>
                <w:kern w:val="0"/>
                <w:szCs w:val="24"/>
              </w:rPr>
              <w:t>八年級幾何光學為例</w:t>
            </w:r>
          </w:p>
        </w:tc>
      </w:tr>
      <w:tr w:rsidR="00CF630F" w:rsidTr="00603F76">
        <w:trPr>
          <w:trHeight w:val="87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10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碩士論文佳作</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蕭芷芸碩士</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w:t>
            </w:r>
            <w:proofErr w:type="gramStart"/>
            <w:r>
              <w:rPr>
                <w:rFonts w:ascii="華康中圓體" w:eastAsia="華康中圓體" w:hAnsi="華康中圓體" w:cs="新細明體"/>
                <w:color w:val="000000"/>
                <w:kern w:val="0"/>
                <w:szCs w:val="24"/>
              </w:rPr>
              <w:t>臺</w:t>
            </w:r>
            <w:proofErr w:type="gramEnd"/>
            <w:r>
              <w:rPr>
                <w:rFonts w:ascii="華康中圓體" w:eastAsia="華康中圓體" w:hAnsi="華康中圓體" w:cs="新細明體"/>
                <w:color w:val="000000"/>
                <w:kern w:val="0"/>
                <w:szCs w:val="24"/>
              </w:rPr>
              <w:t>中教育大學數學系碩士班</w:t>
            </w: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陳彥廷教授</w:t>
            </w:r>
          </w:p>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hint="eastAsia"/>
                <w:color w:val="000000"/>
                <w:kern w:val="0"/>
                <w:szCs w:val="24"/>
              </w:rPr>
              <w:t>陳中川教授</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國小教師參與數學補救教學培育課程數學教學知識發展之個案研究</w:t>
            </w:r>
          </w:p>
        </w:tc>
      </w:tr>
      <w:tr w:rsidR="00CF630F" w:rsidTr="00603F76">
        <w:trPr>
          <w:trHeight w:val="87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11</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碩士論文佳作</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林易萱碩士</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國立彰化師範大學教育研究所學校行政碩士班</w:t>
            </w: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龔心怡教授</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教師信念、專業承諾與班級經營效能比較之研究</w:t>
            </w:r>
            <w:proofErr w:type="gramStart"/>
            <w:r>
              <w:rPr>
                <w:rFonts w:ascii="標楷體" w:eastAsia="標楷體" w:hAnsi="標楷體" w:cs="新細明體"/>
                <w:color w:val="000000"/>
                <w:kern w:val="0"/>
                <w:szCs w:val="24"/>
              </w:rPr>
              <w:t>—</w:t>
            </w:r>
            <w:proofErr w:type="gramEnd"/>
            <w:r>
              <w:rPr>
                <w:rFonts w:ascii="標楷體" w:eastAsia="標楷體" w:hAnsi="標楷體" w:cs="新細明體"/>
                <w:color w:val="000000"/>
                <w:kern w:val="0"/>
                <w:szCs w:val="24"/>
              </w:rPr>
              <w:t>以國高中新手與資深教師為例</w:t>
            </w:r>
          </w:p>
        </w:tc>
      </w:tr>
      <w:tr w:rsidR="00CF630F" w:rsidTr="00603F76">
        <w:trPr>
          <w:trHeight w:val="87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12</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碩士論文佳作</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曹雅</w:t>
            </w:r>
            <w:proofErr w:type="gramStart"/>
            <w:r>
              <w:rPr>
                <w:rFonts w:ascii="華康中圓體" w:eastAsia="華康中圓體" w:hAnsi="華康中圓體" w:cs="新細明體"/>
                <w:color w:val="000000"/>
                <w:kern w:val="0"/>
                <w:szCs w:val="24"/>
              </w:rPr>
              <w:t>筑</w:t>
            </w:r>
            <w:proofErr w:type="gramEnd"/>
            <w:r>
              <w:rPr>
                <w:rFonts w:ascii="華康中圓體" w:eastAsia="華康中圓體" w:hAnsi="華康中圓體" w:cs="新細明體"/>
                <w:color w:val="000000"/>
                <w:kern w:val="0"/>
                <w:szCs w:val="24"/>
              </w:rPr>
              <w:t>碩士</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臺灣藝術大學藝術與人文教學研究所碩士班</w:t>
            </w: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李其昌教授</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運用跨領域教學提升國中生自我認同之行動研究</w:t>
            </w:r>
          </w:p>
        </w:tc>
      </w:tr>
      <w:tr w:rsidR="00CF630F" w:rsidTr="00603F76">
        <w:trPr>
          <w:trHeight w:val="87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13</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0D3DD3">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碩士論文佳作</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蔡京潔碩士</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left"/>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國立</w:t>
            </w:r>
            <w:proofErr w:type="gramStart"/>
            <w:r>
              <w:rPr>
                <w:rFonts w:ascii="華康中圓體" w:eastAsia="華康中圓體" w:hAnsi="華康中圓體" w:cs="新細明體"/>
                <w:color w:val="000000"/>
                <w:kern w:val="0"/>
                <w:szCs w:val="24"/>
              </w:rPr>
              <w:t>臺</w:t>
            </w:r>
            <w:proofErr w:type="gramEnd"/>
            <w:r>
              <w:rPr>
                <w:rFonts w:ascii="華康中圓體" w:eastAsia="華康中圓體" w:hAnsi="華康中圓體" w:cs="新細明體"/>
                <w:color w:val="000000"/>
                <w:kern w:val="0"/>
                <w:szCs w:val="24"/>
              </w:rPr>
              <w:t>南大學特殊教育學系特殊教育碩士班</w:t>
            </w: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CF630F" w:rsidRDefault="00CF630F" w:rsidP="00CF630F">
            <w:pPr>
              <w:widowControl/>
              <w:spacing w:line="240" w:lineRule="auto"/>
              <w:ind w:firstLine="0"/>
              <w:jc w:val="center"/>
              <w:rPr>
                <w:rFonts w:ascii="華康中圓體" w:eastAsia="華康中圓體" w:hAnsi="華康中圓體" w:cs="新細明體"/>
                <w:color w:val="000000"/>
                <w:kern w:val="0"/>
                <w:szCs w:val="24"/>
              </w:rPr>
            </w:pPr>
            <w:r>
              <w:rPr>
                <w:rFonts w:ascii="華康中圓體" w:eastAsia="華康中圓體" w:hAnsi="華康中圓體" w:cs="新細明體"/>
                <w:color w:val="000000"/>
                <w:kern w:val="0"/>
                <w:szCs w:val="24"/>
              </w:rPr>
              <w:t>李</w:t>
            </w:r>
            <w:proofErr w:type="gramStart"/>
            <w:r>
              <w:rPr>
                <w:rFonts w:ascii="華康中圓體" w:eastAsia="華康中圓體" w:hAnsi="華康中圓體" w:cs="新細明體" w:hint="eastAsia"/>
                <w:color w:val="000000"/>
                <w:kern w:val="0"/>
                <w:szCs w:val="24"/>
              </w:rPr>
              <w:t>芃</w:t>
            </w:r>
            <w:r>
              <w:rPr>
                <w:rFonts w:ascii="華康中圓體" w:eastAsia="華康中圓體" w:hAnsi="華康中圓體" w:cs="新細明體"/>
                <w:color w:val="000000"/>
                <w:kern w:val="0"/>
                <w:szCs w:val="24"/>
              </w:rPr>
              <w:t>娟</w:t>
            </w:r>
            <w:proofErr w:type="gramEnd"/>
            <w:r>
              <w:rPr>
                <w:rFonts w:ascii="華康中圓體" w:eastAsia="華康中圓體" w:hAnsi="華康中圓體" w:cs="新細明體"/>
                <w:color w:val="000000"/>
                <w:kern w:val="0"/>
                <w:szCs w:val="24"/>
              </w:rPr>
              <w:t>教授</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630F" w:rsidRDefault="00CF630F" w:rsidP="00CF630F">
            <w:pPr>
              <w:widowControl/>
              <w:spacing w:line="240" w:lineRule="auto"/>
              <w:ind w:firstLine="0"/>
              <w:jc w:val="left"/>
              <w:rPr>
                <w:rFonts w:ascii="標楷體" w:eastAsia="標楷體" w:hAnsi="標楷體" w:cs="新細明體"/>
                <w:color w:val="000000"/>
                <w:kern w:val="0"/>
                <w:szCs w:val="24"/>
              </w:rPr>
            </w:pPr>
            <w:r>
              <w:rPr>
                <w:rFonts w:ascii="標楷體" w:eastAsia="標楷體" w:hAnsi="標楷體" w:cs="新細明體"/>
                <w:color w:val="000000"/>
                <w:kern w:val="0"/>
                <w:szCs w:val="24"/>
              </w:rPr>
              <w:t>行為功能介入方案對高職智能障礙學生攻擊行為之處理效果</w:t>
            </w:r>
          </w:p>
        </w:tc>
      </w:tr>
    </w:tbl>
    <w:p w:rsidR="000B0A6B" w:rsidRDefault="000B0A6B" w:rsidP="00272D82">
      <w:pPr>
        <w:pStyle w:val="a7"/>
      </w:pPr>
    </w:p>
    <w:p w:rsidR="00294C8B" w:rsidRDefault="00294C8B" w:rsidP="00272D82">
      <w:pPr>
        <w:pStyle w:val="a7"/>
      </w:pPr>
    </w:p>
    <w:p w:rsidR="00294C8B" w:rsidRPr="000B0A6B" w:rsidRDefault="00294C8B" w:rsidP="00272D82">
      <w:pPr>
        <w:pStyle w:val="a7"/>
        <w:sectPr w:rsidR="00294C8B" w:rsidRPr="000B0A6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851" w:footer="567" w:gutter="0"/>
          <w:cols w:space="720"/>
          <w:docGrid w:type="lines" w:linePitch="361"/>
        </w:sectPr>
      </w:pPr>
    </w:p>
    <w:p w:rsidR="000B0A6B" w:rsidRDefault="00294C8B" w:rsidP="00294C8B">
      <w:pPr>
        <w:tabs>
          <w:tab w:val="left" w:pos="2892"/>
        </w:tabs>
        <w:ind w:firstLineChars="200" w:firstLine="480"/>
      </w:pPr>
      <w:r>
        <w:lastRenderedPageBreak/>
        <w:tab/>
      </w:r>
    </w:p>
    <w:sectPr w:rsidR="000B0A6B" w:rsidSect="000B0A6B">
      <w:headerReference w:type="default" r:id="rId13"/>
      <w:footerReference w:type="default" r:id="rId14"/>
      <w:pgSz w:w="16838" w:h="11906" w:orient="landscape"/>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29" w:rsidRDefault="00976C29" w:rsidP="000B0A6B">
      <w:pPr>
        <w:spacing w:line="240" w:lineRule="auto"/>
      </w:pPr>
      <w:r>
        <w:separator/>
      </w:r>
    </w:p>
  </w:endnote>
  <w:endnote w:type="continuationSeparator" w:id="0">
    <w:p w:rsidR="00976C29" w:rsidRDefault="00976C29" w:rsidP="000B0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圓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6E" w:rsidRDefault="00F77C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6E" w:rsidRDefault="00F77C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6E" w:rsidRDefault="00F77C6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6B" w:rsidRDefault="000B0A6B">
    <w:pPr>
      <w:pStyle w:val="a5"/>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29" w:rsidRDefault="00976C29" w:rsidP="000B0A6B">
      <w:pPr>
        <w:spacing w:line="240" w:lineRule="auto"/>
      </w:pPr>
      <w:r w:rsidRPr="000B0A6B">
        <w:rPr>
          <w:color w:val="000000"/>
        </w:rPr>
        <w:separator/>
      </w:r>
    </w:p>
  </w:footnote>
  <w:footnote w:type="continuationSeparator" w:id="0">
    <w:p w:rsidR="00976C29" w:rsidRDefault="00976C29" w:rsidP="000B0A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6E" w:rsidRDefault="00F77C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6B" w:rsidRDefault="00446481" w:rsidP="00446481">
    <w:pPr>
      <w:pStyle w:val="a3"/>
      <w:tabs>
        <w:tab w:val="left" w:pos="253"/>
        <w:tab w:val="center" w:pos="7699"/>
      </w:tabs>
      <w:ind w:firstLine="0"/>
      <w:jc w:val="left"/>
      <w:rPr>
        <w:rFonts w:ascii="新細明體" w:hAnsi="新細明體"/>
        <w:b/>
        <w:sz w:val="48"/>
      </w:rPr>
    </w:pPr>
    <w:r>
      <w:rPr>
        <w:rFonts w:ascii="新細明體" w:hAnsi="新細明體"/>
        <w:b/>
        <w:sz w:val="48"/>
      </w:rPr>
      <w:tab/>
    </w:r>
    <w:r>
      <w:rPr>
        <w:rFonts w:ascii="新細明體" w:hAnsi="新細明體"/>
        <w:b/>
        <w:sz w:val="48"/>
      </w:rPr>
      <w:tab/>
    </w:r>
    <w:r w:rsidR="00603F76" w:rsidRPr="00446481">
      <w:rPr>
        <w:rFonts w:ascii="新細明體" w:hAnsi="新細明體" w:hint="eastAsia"/>
        <w:b/>
        <w:noProof/>
        <w:sz w:val="24"/>
        <w:szCs w:val="24"/>
      </w:rPr>
      <w:drawing>
        <wp:anchor distT="0" distB="0" distL="114300" distR="114300" simplePos="0" relativeHeight="251659264" behindDoc="0" locked="0" layoutInCell="1" allowOverlap="1" wp14:anchorId="1AB08EA3" wp14:editId="025CB7F8">
          <wp:simplePos x="0" y="0"/>
          <wp:positionH relativeFrom="column">
            <wp:posOffset>888999</wp:posOffset>
          </wp:positionH>
          <wp:positionV relativeFrom="paragraph">
            <wp:posOffset>-311785</wp:posOffset>
          </wp:positionV>
          <wp:extent cx="948267" cy="907283"/>
          <wp:effectExtent l="38100" t="0" r="23495" b="26670"/>
          <wp:wrapNone/>
          <wp:docPr id="2" name="圖片 0" descr="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
                  <a:stretch>
                    <a:fillRect/>
                  </a:stretch>
                </pic:blipFill>
                <pic:spPr>
                  <a:xfrm>
                    <a:off x="0" y="0"/>
                    <a:ext cx="955705" cy="91440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446481">
      <w:rPr>
        <w:rFonts w:ascii="新細明體" w:hAnsi="新細明體" w:hint="eastAsia"/>
        <w:b/>
        <w:sz w:val="24"/>
        <w:szCs w:val="24"/>
      </w:rPr>
      <w:t>附件</w:t>
    </w:r>
    <w:r w:rsidR="00F77C6E">
      <w:rPr>
        <w:rFonts w:ascii="新細明體" w:hAnsi="新細明體" w:hint="eastAsia"/>
        <w:b/>
        <w:sz w:val="24"/>
        <w:szCs w:val="24"/>
      </w:rPr>
      <w:t>1</w:t>
    </w:r>
    <w:r>
      <w:rPr>
        <w:rFonts w:ascii="新細明體" w:hAnsi="新細明體" w:hint="eastAsia"/>
        <w:b/>
        <w:sz w:val="48"/>
      </w:rPr>
      <w:t xml:space="preserve">                       </w:t>
    </w:r>
    <w:bookmarkStart w:id="0" w:name="_GoBack"/>
    <w:r>
      <w:rPr>
        <w:rFonts w:ascii="新細明體" w:hAnsi="新細明體" w:hint="eastAsia"/>
        <w:b/>
        <w:sz w:val="48"/>
      </w:rPr>
      <w:t xml:space="preserve"> </w:t>
    </w:r>
    <w:r w:rsidR="000B0A6B" w:rsidRPr="0036666F">
      <w:rPr>
        <w:rFonts w:ascii="新細明體" w:hAnsi="新細明體"/>
        <w:b/>
        <w:sz w:val="48"/>
      </w:rPr>
      <w:t>105優秀師資培育</w:t>
    </w:r>
    <w:proofErr w:type="gramStart"/>
    <w:r w:rsidR="000B0A6B" w:rsidRPr="0036666F">
      <w:rPr>
        <w:rFonts w:ascii="新細明體" w:hAnsi="新細明體"/>
        <w:b/>
        <w:sz w:val="48"/>
      </w:rPr>
      <w:t>碩</w:t>
    </w:r>
    <w:proofErr w:type="gramEnd"/>
    <w:r w:rsidR="000B0A6B" w:rsidRPr="0036666F">
      <w:rPr>
        <w:rFonts w:ascii="新細明體" w:hAnsi="新細明體"/>
        <w:b/>
        <w:sz w:val="48"/>
      </w:rPr>
      <w:t xml:space="preserve">博士論文獎  </w:t>
    </w:r>
    <w:r w:rsidR="00BA1BA3" w:rsidRPr="0036666F">
      <w:rPr>
        <w:rFonts w:ascii="新細明體" w:hAnsi="新細明體" w:hint="eastAsia"/>
        <w:b/>
        <w:sz w:val="48"/>
      </w:rPr>
      <w:t>獲</w:t>
    </w:r>
    <w:r w:rsidR="000B0A6B" w:rsidRPr="0036666F">
      <w:rPr>
        <w:rFonts w:ascii="新細明體" w:hAnsi="新細明體"/>
        <w:b/>
        <w:sz w:val="48"/>
      </w:rPr>
      <w:t>獎名單</w:t>
    </w:r>
    <w:r>
      <w:rPr>
        <w:rFonts w:ascii="新細明體" w:hAnsi="新細明體" w:hint="eastAsia"/>
        <w:b/>
        <w:sz w:val="48"/>
      </w:rPr>
      <w:t xml:space="preserve"> </w:t>
    </w:r>
    <w:bookmarkEnd w:id="0"/>
    <w:r>
      <w:rPr>
        <w:rFonts w:ascii="新細明體" w:hAnsi="新細明體" w:hint="eastAsia"/>
        <w:b/>
        <w:sz w:val="48"/>
      </w:rPr>
      <w:t xml:space="preserve">            </w:t>
    </w:r>
  </w:p>
  <w:p w:rsidR="00294C8B" w:rsidRDefault="00294C8B" w:rsidP="0036666F">
    <w:pPr>
      <w:pStyle w:val="a3"/>
      <w:ind w:firstLine="0"/>
      <w:jc w:val="center"/>
      <w:rPr>
        <w:rFonts w:ascii="新細明體" w:hAnsi="新細明體"/>
        <w:b/>
        <w:sz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6E" w:rsidRDefault="00F77C6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6B" w:rsidRPr="0036666F" w:rsidRDefault="000B0A6B" w:rsidP="003666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B0A6B"/>
    <w:rsid w:val="00025F6E"/>
    <w:rsid w:val="00093AF5"/>
    <w:rsid w:val="000B0A6B"/>
    <w:rsid w:val="000E7A8D"/>
    <w:rsid w:val="000F7E55"/>
    <w:rsid w:val="001D4F36"/>
    <w:rsid w:val="00251BFA"/>
    <w:rsid w:val="00253A3E"/>
    <w:rsid w:val="0026424B"/>
    <w:rsid w:val="00272D82"/>
    <w:rsid w:val="00294C8B"/>
    <w:rsid w:val="002C57A0"/>
    <w:rsid w:val="002E319A"/>
    <w:rsid w:val="0036666F"/>
    <w:rsid w:val="003A715B"/>
    <w:rsid w:val="003D7AA0"/>
    <w:rsid w:val="00446481"/>
    <w:rsid w:val="00530134"/>
    <w:rsid w:val="00576201"/>
    <w:rsid w:val="00603F76"/>
    <w:rsid w:val="006050E2"/>
    <w:rsid w:val="00721BB2"/>
    <w:rsid w:val="00764D1C"/>
    <w:rsid w:val="00976C29"/>
    <w:rsid w:val="00AB746A"/>
    <w:rsid w:val="00BA1BA3"/>
    <w:rsid w:val="00CF630F"/>
    <w:rsid w:val="00DB47A8"/>
    <w:rsid w:val="00E00147"/>
    <w:rsid w:val="00F77C6E"/>
    <w:rsid w:val="00FC6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spacing w:line="520" w:lineRule="exact"/>
        <w:ind w:firstLine="20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0A6B"/>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A6B"/>
    <w:pPr>
      <w:tabs>
        <w:tab w:val="center" w:pos="4153"/>
        <w:tab w:val="right" w:pos="8306"/>
      </w:tabs>
      <w:snapToGrid w:val="0"/>
    </w:pPr>
    <w:rPr>
      <w:sz w:val="20"/>
      <w:szCs w:val="20"/>
    </w:rPr>
  </w:style>
  <w:style w:type="character" w:customStyle="1" w:styleId="a4">
    <w:name w:val="頁首 字元"/>
    <w:basedOn w:val="a0"/>
    <w:rsid w:val="000B0A6B"/>
    <w:rPr>
      <w:sz w:val="20"/>
      <w:szCs w:val="20"/>
    </w:rPr>
  </w:style>
  <w:style w:type="paragraph" w:styleId="a5">
    <w:name w:val="footer"/>
    <w:basedOn w:val="a"/>
    <w:rsid w:val="000B0A6B"/>
    <w:pPr>
      <w:tabs>
        <w:tab w:val="center" w:pos="4153"/>
        <w:tab w:val="right" w:pos="8306"/>
      </w:tabs>
      <w:snapToGrid w:val="0"/>
    </w:pPr>
    <w:rPr>
      <w:sz w:val="20"/>
      <w:szCs w:val="20"/>
    </w:rPr>
  </w:style>
  <w:style w:type="character" w:customStyle="1" w:styleId="a6">
    <w:name w:val="頁尾 字元"/>
    <w:basedOn w:val="a0"/>
    <w:rsid w:val="000B0A6B"/>
    <w:rPr>
      <w:sz w:val="20"/>
      <w:szCs w:val="20"/>
    </w:rPr>
  </w:style>
  <w:style w:type="paragraph" w:styleId="a7">
    <w:name w:val="No Spacing"/>
    <w:uiPriority w:val="1"/>
    <w:qFormat/>
    <w:rsid w:val="00272D82"/>
    <w:pPr>
      <w:widowControl w:val="0"/>
      <w:suppressAutoHyphens/>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moejsmpc</cp:lastModifiedBy>
  <cp:revision>6</cp:revision>
  <dcterms:created xsi:type="dcterms:W3CDTF">2016-11-15T06:16:00Z</dcterms:created>
  <dcterms:modified xsi:type="dcterms:W3CDTF">2016-11-16T06:02:00Z</dcterms:modified>
</cp:coreProperties>
</file>