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30" w:rsidRPr="008E5516" w:rsidRDefault="003C7430" w:rsidP="00C660DA">
      <w:pPr>
        <w:widowControl/>
        <w:spacing w:line="500" w:lineRule="exact"/>
        <w:jc w:val="center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E551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教育部補助大專校院</w:t>
      </w:r>
      <w:r w:rsidR="00ED5BFC" w:rsidRPr="008E551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設</w:t>
      </w:r>
      <w:r w:rsidRPr="008E551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置專業輔導人員要點</w:t>
      </w:r>
    </w:p>
    <w:p w:rsidR="00FB6F99" w:rsidRDefault="00FB6F99" w:rsidP="00FB6F99">
      <w:pPr>
        <w:widowControl/>
        <w:spacing w:line="500" w:lineRule="exact"/>
        <w:jc w:val="right"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中華民國</w:t>
      </w:r>
      <w:r w:rsidRPr="00EE6ABB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103年10月29日臺教學(三)字第1030153030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B</w:t>
      </w:r>
      <w:r w:rsidRPr="00EE6ABB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號</w:t>
      </w:r>
      <w:r w:rsidR="00661C2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令訂定</w:t>
      </w:r>
      <w:r w:rsidRPr="00A246E0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發布</w:t>
      </w:r>
    </w:p>
    <w:p w:rsidR="00FB6F99" w:rsidRDefault="00FB6F99" w:rsidP="00FB6F99">
      <w:pPr>
        <w:widowControl/>
        <w:spacing w:line="500" w:lineRule="exact"/>
        <w:jc w:val="right"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中華民國</w:t>
      </w:r>
      <w:r w:rsidRPr="00EE6ABB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4</w:t>
      </w:r>
      <w:r w:rsidRPr="00EE6ABB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8</w:t>
      </w:r>
      <w:r w:rsidRPr="00EE6ABB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20</w:t>
      </w:r>
      <w:r w:rsidRPr="00EE6ABB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日臺教學(三)字第</w:t>
      </w:r>
      <w:r w:rsidR="008055A3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1040098775B</w:t>
      </w:r>
      <w:r w:rsidRPr="00EE6ABB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號</w:t>
      </w:r>
      <w:r w:rsidR="00661C2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令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修正發布</w:t>
      </w:r>
    </w:p>
    <w:p w:rsidR="00676584" w:rsidRDefault="00676584" w:rsidP="00FB6F99">
      <w:pPr>
        <w:widowControl/>
        <w:spacing w:line="500" w:lineRule="exact"/>
        <w:jc w:val="right"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  <w:r w:rsidRPr="00676584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中華民國</w:t>
      </w:r>
      <w:r>
        <w:rPr>
          <w:rFonts w:ascii="標楷體" w:eastAsia="標楷體" w:hAnsi="標楷體" w:cs="新細明體"/>
          <w:color w:val="000000"/>
          <w:kern w:val="0"/>
          <w:sz w:val="16"/>
          <w:szCs w:val="16"/>
        </w:rPr>
        <w:t>106</w:t>
      </w:r>
      <w:r w:rsidRPr="00676584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年</w:t>
      </w:r>
      <w:r>
        <w:rPr>
          <w:rFonts w:ascii="標楷體" w:eastAsia="標楷體" w:hAnsi="標楷體" w:cs="新細明體"/>
          <w:color w:val="000000"/>
          <w:kern w:val="0"/>
          <w:sz w:val="16"/>
          <w:szCs w:val="16"/>
        </w:rPr>
        <w:t>7</w:t>
      </w:r>
      <w:r w:rsidRPr="00676584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月</w:t>
      </w:r>
      <w:r>
        <w:rPr>
          <w:rFonts w:ascii="標楷體" w:eastAsia="標楷體" w:hAnsi="標楷體" w:cs="新細明體"/>
          <w:color w:val="000000"/>
          <w:kern w:val="0"/>
          <w:sz w:val="16"/>
          <w:szCs w:val="16"/>
        </w:rPr>
        <w:t>6</w:t>
      </w:r>
      <w:r w:rsidRPr="00676584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日臺教學(三)字第</w:t>
      </w:r>
      <w:r>
        <w:rPr>
          <w:rFonts w:ascii="標楷體" w:eastAsia="標楷體" w:hAnsi="標楷體" w:cs="新細明體"/>
          <w:color w:val="000000"/>
          <w:kern w:val="0"/>
          <w:sz w:val="16"/>
          <w:szCs w:val="16"/>
        </w:rPr>
        <w:t>1060090093</w:t>
      </w:r>
      <w:r w:rsidRPr="00676584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B號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令</w:t>
      </w:r>
      <w:r w:rsidRPr="00676584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修正發布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第</w:t>
      </w:r>
      <w:r w:rsidR="00661C2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3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點</w:t>
      </w:r>
    </w:p>
    <w:p w:rsidR="00676584" w:rsidRPr="00676584" w:rsidRDefault="00676584" w:rsidP="00FB6F99">
      <w:pPr>
        <w:widowControl/>
        <w:spacing w:line="500" w:lineRule="exact"/>
        <w:jc w:val="right"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</w:p>
    <w:p w:rsidR="00B16FE7" w:rsidRPr="00825443" w:rsidRDefault="00B16FE7" w:rsidP="00EF6F7C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一、教育部（以下簡稱本部）為協助大專校院</w:t>
      </w:r>
      <w:r w:rsidR="004B4E34"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依學生輔導法第</w:t>
      </w:r>
      <w:r w:rsidR="00ED00ED"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十一</w:t>
      </w:r>
      <w:r w:rsidR="00A51969"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條</w:t>
      </w:r>
      <w:r w:rsidR="008A4B7B"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第五項</w:t>
      </w:r>
      <w:r w:rsidR="004B4E34"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規定</w:t>
      </w: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聘用專業輔導人員（具諮商心理師、臨床心理師或社會工作師證照者），強化輔導人力協助學生輔導心理工作，以健全學校三級輔導體制，特訂定本要點。</w:t>
      </w:r>
    </w:p>
    <w:p w:rsidR="00B16FE7" w:rsidRPr="00825443" w:rsidRDefault="00B16FE7" w:rsidP="001C23A9">
      <w:pPr>
        <w:widowControl/>
        <w:spacing w:beforeLines="50" w:before="180"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二、補助對象：各公私立大專校院。</w:t>
      </w:r>
    </w:p>
    <w:p w:rsidR="00676584" w:rsidRPr="00825443" w:rsidRDefault="00676584" w:rsidP="00676584">
      <w:pPr>
        <w:widowControl/>
        <w:spacing w:beforeLines="50" w:before="180"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三、補助項目及額度：</w:t>
      </w:r>
    </w:p>
    <w:p w:rsidR="00676584" w:rsidRPr="00833055" w:rsidRDefault="00676584" w:rsidP="00676584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(一)專任專業輔導人員之薪資及年終獎金，每人每年最高補助新臺幣四十萬元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薪資及年終獎金不足部分或其他需用各類費用（如勞保費、健保費、勞工退休金、加班費、值勤費、其他津貼等），應由學校自籌款支應</w:t>
      </w:r>
      <w:r w:rsidRPr="0083305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；</w:t>
      </w:r>
      <w:r w:rsidRPr="00833055">
        <w:rPr>
          <w:rFonts w:ascii="標楷體" w:eastAsia="標楷體" w:hAnsi="標楷體" w:cs="新細明體" w:hint="eastAsia"/>
          <w:kern w:val="0"/>
          <w:sz w:val="28"/>
          <w:szCs w:val="28"/>
        </w:rPr>
        <w:t>其每校補助人數上限如下：</w:t>
      </w:r>
    </w:p>
    <w:p w:rsidR="00676584" w:rsidRPr="00833055" w:rsidRDefault="00676584" w:rsidP="00C04BF8">
      <w:pPr>
        <w:widowControl/>
        <w:spacing w:line="500" w:lineRule="exact"/>
        <w:ind w:leftChars="233" w:left="559" w:firstLineChars="2" w:firstLine="6"/>
        <w:rPr>
          <w:rFonts w:ascii="標楷體" w:eastAsia="標楷體" w:hAnsi="標楷體" w:cs="新細明體"/>
          <w:kern w:val="0"/>
          <w:sz w:val="28"/>
          <w:szCs w:val="28"/>
        </w:rPr>
      </w:pPr>
      <w:r w:rsidRPr="00833055">
        <w:rPr>
          <w:rFonts w:ascii="標楷體" w:eastAsia="標楷體" w:hAnsi="標楷體" w:cs="新細明體" w:hint="eastAsia"/>
          <w:kern w:val="0"/>
          <w:sz w:val="28"/>
          <w:szCs w:val="28"/>
        </w:rPr>
        <w:t>1、學生人數未滿一萬人者：最高補助三人。</w:t>
      </w:r>
    </w:p>
    <w:p w:rsidR="00676584" w:rsidRPr="00833055" w:rsidRDefault="00676584" w:rsidP="00C04BF8">
      <w:pPr>
        <w:widowControl/>
        <w:spacing w:line="500" w:lineRule="exact"/>
        <w:ind w:leftChars="233" w:left="559" w:firstLineChars="2" w:firstLine="6"/>
        <w:rPr>
          <w:rFonts w:ascii="標楷體" w:eastAsia="標楷體" w:hAnsi="標楷體" w:cs="新細明體"/>
          <w:kern w:val="0"/>
          <w:sz w:val="28"/>
          <w:szCs w:val="28"/>
        </w:rPr>
      </w:pPr>
      <w:r w:rsidRPr="00833055">
        <w:rPr>
          <w:rFonts w:ascii="標楷體" w:eastAsia="標楷體" w:hAnsi="標楷體" w:cs="新細明體" w:hint="eastAsia"/>
          <w:kern w:val="0"/>
          <w:sz w:val="28"/>
          <w:szCs w:val="28"/>
        </w:rPr>
        <w:t>2、學生人數一萬人以上，未滿二萬人者：最高補助五人。</w:t>
      </w:r>
    </w:p>
    <w:p w:rsidR="00676584" w:rsidRPr="00833055" w:rsidRDefault="00676584" w:rsidP="00C04BF8">
      <w:pPr>
        <w:widowControl/>
        <w:spacing w:line="500" w:lineRule="exact"/>
        <w:ind w:leftChars="233" w:left="559" w:firstLineChars="2" w:firstLine="6"/>
        <w:rPr>
          <w:rFonts w:ascii="標楷體" w:eastAsia="標楷體" w:hAnsi="標楷體" w:cs="新細明體"/>
          <w:kern w:val="0"/>
          <w:sz w:val="28"/>
          <w:szCs w:val="28"/>
        </w:rPr>
      </w:pPr>
      <w:r w:rsidRPr="00833055">
        <w:rPr>
          <w:rFonts w:ascii="標楷體" w:eastAsia="標楷體" w:hAnsi="標楷體" w:cs="新細明體" w:hint="eastAsia"/>
          <w:kern w:val="0"/>
          <w:sz w:val="28"/>
          <w:szCs w:val="28"/>
        </w:rPr>
        <w:t>3、學生人數二萬人以上者：最高補助七人。</w:t>
      </w:r>
    </w:p>
    <w:p w:rsidR="00676584" w:rsidRPr="00825443" w:rsidRDefault="00676584" w:rsidP="00676584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(二)兼任專業輔導人員之鐘點費，以學校所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定</w:t>
      </w: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支給標準給付，並以每小時新臺幣八百元為上限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；</w:t>
      </w: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每校補助上限如下：</w:t>
      </w:r>
    </w:p>
    <w:p w:rsidR="00676584" w:rsidRPr="00833055" w:rsidRDefault="00676584" w:rsidP="00C04BF8">
      <w:pPr>
        <w:widowControl/>
        <w:spacing w:line="500" w:lineRule="exact"/>
        <w:ind w:leftChars="233" w:left="990" w:hanging="431"/>
        <w:rPr>
          <w:rFonts w:ascii="標楷體" w:eastAsia="標楷體" w:hAnsi="標楷體" w:cs="新細明體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1、學生人數未滿一萬人者：最高補助新臺幣</w:t>
      </w:r>
      <w:r w:rsidRPr="008330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二十</w:t>
      </w:r>
      <w:r w:rsidRPr="00833055">
        <w:rPr>
          <w:rFonts w:ascii="標楷體" w:eastAsia="標楷體" w:hAnsi="標楷體" w:cs="新細明體" w:hint="eastAsia"/>
          <w:kern w:val="0"/>
          <w:sz w:val="28"/>
          <w:szCs w:val="28"/>
        </w:rPr>
        <w:t>萬元。</w:t>
      </w:r>
    </w:p>
    <w:p w:rsidR="00676584" w:rsidRPr="00833055" w:rsidRDefault="00676584" w:rsidP="00C04BF8">
      <w:pPr>
        <w:widowControl/>
        <w:spacing w:line="500" w:lineRule="exact"/>
        <w:ind w:leftChars="235" w:left="991" w:hanging="427"/>
        <w:rPr>
          <w:rFonts w:ascii="標楷體" w:eastAsia="標楷體" w:hAnsi="標楷體" w:cs="新細明體"/>
          <w:kern w:val="0"/>
          <w:sz w:val="28"/>
          <w:szCs w:val="28"/>
        </w:rPr>
      </w:pPr>
      <w:r w:rsidRPr="00833055">
        <w:rPr>
          <w:rFonts w:ascii="標楷體" w:eastAsia="標楷體" w:hAnsi="標楷體" w:cs="新細明體" w:hint="eastAsia"/>
          <w:kern w:val="0"/>
          <w:sz w:val="28"/>
          <w:szCs w:val="28"/>
        </w:rPr>
        <w:t>2、學生人數一萬人以上，未滿二萬人者：最高補助新臺幣</w:t>
      </w:r>
      <w:r w:rsidRPr="008330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四十</w:t>
      </w:r>
      <w:r w:rsidRPr="00833055">
        <w:rPr>
          <w:rFonts w:ascii="標楷體" w:eastAsia="標楷體" w:hAnsi="標楷體" w:cs="新細明體" w:hint="eastAsia"/>
          <w:kern w:val="0"/>
          <w:sz w:val="28"/>
          <w:szCs w:val="28"/>
        </w:rPr>
        <w:t>萬元。</w:t>
      </w:r>
    </w:p>
    <w:p w:rsidR="00676584" w:rsidRPr="00833055" w:rsidRDefault="00676584" w:rsidP="00C04BF8">
      <w:pPr>
        <w:widowControl/>
        <w:spacing w:line="500" w:lineRule="exact"/>
        <w:ind w:leftChars="235" w:left="989" w:hanging="425"/>
        <w:rPr>
          <w:rFonts w:ascii="標楷體" w:eastAsia="標楷體" w:hAnsi="標楷體" w:cs="新細明體"/>
          <w:kern w:val="0"/>
          <w:sz w:val="28"/>
          <w:szCs w:val="28"/>
        </w:rPr>
      </w:pPr>
      <w:r w:rsidRPr="00833055">
        <w:rPr>
          <w:rFonts w:ascii="標楷體" w:eastAsia="標楷體" w:hAnsi="標楷體" w:cs="新細明體" w:hint="eastAsia"/>
          <w:kern w:val="0"/>
          <w:sz w:val="28"/>
          <w:szCs w:val="28"/>
        </w:rPr>
        <w:t>3、學生人數二萬人以上者：最高補助新臺幣</w:t>
      </w:r>
      <w:r w:rsidRPr="008330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六十</w:t>
      </w:r>
      <w:r w:rsidRPr="00833055">
        <w:rPr>
          <w:rFonts w:ascii="標楷體" w:eastAsia="標楷體" w:hAnsi="標楷體" w:cs="新細明體" w:hint="eastAsia"/>
          <w:kern w:val="0"/>
          <w:sz w:val="28"/>
          <w:szCs w:val="28"/>
        </w:rPr>
        <w:t>萬元。</w:t>
      </w:r>
    </w:p>
    <w:p w:rsidR="00B16FE7" w:rsidRPr="00825443" w:rsidRDefault="00B16FE7" w:rsidP="00E80B08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四、申請及審查作業：</w:t>
      </w:r>
    </w:p>
    <w:p w:rsidR="00B16FE7" w:rsidRPr="00825443" w:rsidRDefault="00B16FE7" w:rsidP="00CF1DFE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(一)</w:t>
      </w:r>
      <w:r w:rsidR="006B3470"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申請補助學校應於每年九月三十</w:t>
      </w: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日前，將次年度實施計畫報本部申請補助；逾期得不予受理。但本部另行指定收件期限者，從其指定。</w:t>
      </w:r>
    </w:p>
    <w:p w:rsidR="00B16FE7" w:rsidRPr="00825443" w:rsidRDefault="00B16FE7" w:rsidP="00CF1DFE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(二)前款實施計畫應載明下列事項：</w:t>
      </w:r>
    </w:p>
    <w:p w:rsidR="00B16FE7" w:rsidRPr="00825443" w:rsidRDefault="00B16FE7" w:rsidP="00C04BF8">
      <w:pPr>
        <w:widowControl/>
        <w:spacing w:line="500" w:lineRule="exact"/>
        <w:ind w:leftChars="275" w:left="660" w:firstLineChars="17" w:firstLine="48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1、學校現有專兼任專業輔導人員名冊(如附表)。</w:t>
      </w:r>
    </w:p>
    <w:p w:rsidR="00B16FE7" w:rsidRPr="00825443" w:rsidRDefault="00B16FE7" w:rsidP="00C04BF8">
      <w:pPr>
        <w:widowControl/>
        <w:spacing w:line="500" w:lineRule="exact"/>
        <w:ind w:leftChars="275" w:left="660" w:firstLineChars="17" w:firstLine="48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2、增聘人力服務內容之規劃。</w:t>
      </w:r>
    </w:p>
    <w:p w:rsidR="00B16FE7" w:rsidRPr="00825443" w:rsidRDefault="00B16FE7" w:rsidP="00C04BF8">
      <w:pPr>
        <w:widowControl/>
        <w:spacing w:line="500" w:lineRule="exact"/>
        <w:ind w:leftChars="275" w:left="660" w:firstLineChars="17" w:firstLine="48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3、學生服務（轉介）流程。</w:t>
      </w:r>
    </w:p>
    <w:p w:rsidR="00B16FE7" w:rsidRPr="00825443" w:rsidRDefault="00B16FE7" w:rsidP="00C04BF8">
      <w:pPr>
        <w:widowControl/>
        <w:spacing w:line="500" w:lineRule="exact"/>
        <w:ind w:leftChars="275" w:left="660" w:firstLineChars="17" w:firstLine="48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4、督導考評方式。</w:t>
      </w:r>
    </w:p>
    <w:p w:rsidR="00B16FE7" w:rsidRPr="00825443" w:rsidRDefault="00B16FE7" w:rsidP="00C04BF8">
      <w:pPr>
        <w:widowControl/>
        <w:spacing w:line="500" w:lineRule="exact"/>
        <w:ind w:leftChars="275" w:left="660" w:firstLineChars="17" w:firstLine="48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5、經費編列：</w:t>
      </w:r>
    </w:p>
    <w:p w:rsidR="00B16FE7" w:rsidRPr="00825443" w:rsidRDefault="00B16FE7" w:rsidP="00C04BF8">
      <w:pPr>
        <w:widowControl/>
        <w:spacing w:line="500" w:lineRule="exact"/>
        <w:ind w:leftChars="473" w:left="1561" w:hangingChars="152" w:hanging="42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(1)申請專任專業輔導人員之補助，學校自籌經費不得少於本部補助款之百分之五十。</w:t>
      </w:r>
    </w:p>
    <w:p w:rsidR="00B16FE7" w:rsidRPr="00825443" w:rsidRDefault="00B16FE7" w:rsidP="00C04BF8">
      <w:pPr>
        <w:widowControl/>
        <w:spacing w:line="500" w:lineRule="exact"/>
        <w:ind w:leftChars="473" w:left="1561" w:hangingChars="152" w:hanging="42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(2)申請兼任專業輔導人員之補助，學校自籌經費不得少於本部補助款之百分之二十。</w:t>
      </w:r>
    </w:p>
    <w:p w:rsidR="00B16FE7" w:rsidRPr="00825443" w:rsidRDefault="00B16FE7" w:rsidP="00C04BF8">
      <w:pPr>
        <w:widowControl/>
        <w:spacing w:line="500" w:lineRule="exact"/>
        <w:ind w:leftChars="275" w:left="660" w:firstLineChars="17" w:firstLine="48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6、預期效益。</w:t>
      </w:r>
    </w:p>
    <w:p w:rsidR="00B16FE7" w:rsidRPr="00825443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(三)各校所送實施計畫，由本部辦理書面審查，就計畫內容、學校現有專兼任專業輔導人員配置、學校自籌經費比例等項目予以審核，擇優補助。</w:t>
      </w:r>
    </w:p>
    <w:p w:rsidR="00B16FE7" w:rsidRPr="00825443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(四)各校得就專任或兼任專業輔導人員</w:t>
      </w:r>
      <w:r w:rsidR="00347033" w:rsidRPr="00825443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同時</w:t>
      </w: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申請</w:t>
      </w:r>
      <w:r w:rsidR="00347033" w:rsidRPr="00825443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，</w:t>
      </w: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本部將視經費額度予以補助</w:t>
      </w:r>
      <w:r w:rsidR="00347033" w:rsidRPr="00825443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。</w:t>
      </w:r>
    </w:p>
    <w:p w:rsidR="00B16FE7" w:rsidRPr="00825443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五、經費請撥及結報：</w:t>
      </w:r>
    </w:p>
    <w:p w:rsidR="00B16FE7" w:rsidRPr="00825443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(一)依本部補助及委辦經費核撥結報作業要點規定辦理。</w:t>
      </w:r>
    </w:p>
    <w:p w:rsidR="00B16FE7" w:rsidRPr="00825443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(二)本補助計畫應依本部核定之計畫確實執行，不得以任何理由（如補助經費不足）變更計畫。但因特殊需要、天災或其他不可抗力因素經本部同意變更者，不在此限。</w:t>
      </w:r>
    </w:p>
    <w:p w:rsidR="00B16FE7" w:rsidRPr="00825443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三)經費之支用與憑證保存管理，應依會計程序及相關規定處理；其應於計畫執行結束後二個月內，備文檢附成果報告、本部計畫項目經費核定文件、本部經費收支結算表及應繳回之計畫款項等資料，辦理結報事宜。</w:t>
      </w:r>
    </w:p>
    <w:p w:rsidR="00B16FE7" w:rsidRPr="00825443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六、成效考核：</w:t>
      </w:r>
    </w:p>
    <w:p w:rsidR="00B16FE7" w:rsidRPr="00825443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(一)補助經費經核定後，受補助學校應依計畫辦理，並公開徵聘專任專業輔導人員；其薪資標準、考評、差勤或福利等相關權利義務事宜，均依學校相關規定辦理。</w:t>
      </w:r>
    </w:p>
    <w:p w:rsidR="00B16FE7" w:rsidRPr="00825443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(二)本部補助經費應專款專用，不得挪為他用，且不得支應學校原有專兼任專業輔導人員之經費。</w:t>
      </w:r>
    </w:p>
    <w:p w:rsidR="00B16FE7" w:rsidRPr="00825443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(三)受補助學校於年度結束核銷時，應檢附執行成效報告；本部於必要時得依實際需要召開檢討會議或進行實地訪視督導，以瞭解學校執行情形。</w:t>
      </w:r>
    </w:p>
    <w:p w:rsidR="009055E5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(四)</w:t>
      </w:r>
      <w:r w:rsidR="00E950C7"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申請補助學校所送資料不實或未確實執行經費，經本部查證屬實者，撤銷</w:t>
      </w:r>
      <w:r w:rsidR="00EA4A9E"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或廢止</w:t>
      </w:r>
      <w:r w:rsidR="00E950C7" w:rsidRPr="008254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當年度已核定之補助，學校並應</w:t>
      </w:r>
      <w:r w:rsidR="00AB364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將已撥付之補助款全數退回本部，且三年內不得再申請專業輔導人力補助</w:t>
      </w:r>
      <w:bookmarkStart w:id="0" w:name="_GoBack"/>
      <w:bookmarkEnd w:id="0"/>
      <w:r w:rsidR="00AB364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</w:t>
      </w:r>
    </w:p>
    <w:sectPr w:rsidR="009055E5" w:rsidSect="00A256B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2D" w:rsidRDefault="007A022D" w:rsidP="00A64079">
      <w:r>
        <w:separator/>
      </w:r>
    </w:p>
  </w:endnote>
  <w:endnote w:type="continuationSeparator" w:id="0">
    <w:p w:rsidR="007A022D" w:rsidRDefault="007A022D" w:rsidP="00A6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2D" w:rsidRDefault="007A022D" w:rsidP="00A64079">
      <w:r>
        <w:separator/>
      </w:r>
    </w:p>
  </w:footnote>
  <w:footnote w:type="continuationSeparator" w:id="0">
    <w:p w:rsidR="007A022D" w:rsidRDefault="007A022D" w:rsidP="00A64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7A5"/>
    <w:multiLevelType w:val="hybridMultilevel"/>
    <w:tmpl w:val="94620894"/>
    <w:lvl w:ilvl="0" w:tplc="5C186308">
      <w:start w:val="6"/>
      <w:numFmt w:val="decim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3FD1064A"/>
    <w:multiLevelType w:val="hybridMultilevel"/>
    <w:tmpl w:val="C2F81DE4"/>
    <w:lvl w:ilvl="0" w:tplc="B6E02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2818A2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3C4C79B2">
      <w:start w:val="1"/>
      <w:numFmt w:val="decimal"/>
      <w:lvlText w:val="（%3）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lang w:val="en-US"/>
      </w:rPr>
    </w:lvl>
    <w:lvl w:ilvl="3" w:tplc="BAFC086C">
      <w:start w:val="1"/>
      <w:numFmt w:val="taiwaneseCountingThousand"/>
      <w:lvlText w:val="%4、"/>
      <w:lvlJc w:val="left"/>
      <w:pPr>
        <w:tabs>
          <w:tab w:val="num" w:pos="1830"/>
        </w:tabs>
        <w:ind w:left="1830" w:hanging="390"/>
      </w:pPr>
      <w:rPr>
        <w:rFonts w:ascii="細明體" w:eastAsia="細明體" w:hAnsi="細明體" w:cs="細明體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801228E"/>
    <w:multiLevelType w:val="multilevel"/>
    <w:tmpl w:val="04090021"/>
    <w:lvl w:ilvl="0">
      <w:start w:val="1"/>
      <w:numFmt w:val="upperRoman"/>
      <w:lvlText w:val="%1."/>
      <w:lvlJc w:val="left"/>
      <w:pPr>
        <w:ind w:left="1200" w:hanging="360"/>
      </w:pPr>
    </w:lvl>
    <w:lvl w:ilvl="1">
      <w:start w:val="1"/>
      <w:numFmt w:val="upperLetter"/>
      <w:lvlText w:val="%2."/>
      <w:lvlJc w:val="left"/>
      <w:pPr>
        <w:ind w:left="1560" w:hanging="360"/>
      </w:pPr>
    </w:lvl>
    <w:lvl w:ilvl="2">
      <w:start w:val="1"/>
      <w:numFmt w:val="decimal"/>
      <w:lvlText w:val="%3."/>
      <w:lvlJc w:val="left"/>
      <w:pPr>
        <w:ind w:left="1920" w:hanging="360"/>
      </w:pPr>
    </w:lvl>
    <w:lvl w:ilvl="3">
      <w:start w:val="1"/>
      <w:numFmt w:val="lowerLetter"/>
      <w:lvlText w:val="%4."/>
      <w:lvlJc w:val="left"/>
      <w:pPr>
        <w:ind w:left="2280" w:hanging="360"/>
      </w:pPr>
    </w:lvl>
    <w:lvl w:ilvl="4">
      <w:start w:val="1"/>
      <w:numFmt w:val="decimal"/>
      <w:lvlText w:val="%5."/>
      <w:lvlJc w:val="left"/>
      <w:pPr>
        <w:ind w:left="2640" w:hanging="360"/>
      </w:pPr>
    </w:lvl>
    <w:lvl w:ilvl="5">
      <w:start w:val="1"/>
      <w:numFmt w:val="lowerLetter"/>
      <w:lvlText w:val="%6."/>
      <w:lvlJc w:val="left"/>
      <w:pPr>
        <w:ind w:left="3000" w:hanging="360"/>
      </w:pPr>
    </w:lvl>
    <w:lvl w:ilvl="6">
      <w:start w:val="1"/>
      <w:numFmt w:val="lowerRoman"/>
      <w:lvlText w:val="%7."/>
      <w:lvlJc w:val="left"/>
      <w:pPr>
        <w:ind w:left="3360" w:hanging="360"/>
      </w:pPr>
    </w:lvl>
    <w:lvl w:ilvl="7">
      <w:start w:val="1"/>
      <w:numFmt w:val="lowerLetter"/>
      <w:lvlText w:val="%8."/>
      <w:lvlJc w:val="left"/>
      <w:pPr>
        <w:ind w:left="3720" w:hanging="360"/>
      </w:pPr>
    </w:lvl>
    <w:lvl w:ilvl="8">
      <w:start w:val="1"/>
      <w:numFmt w:val="lowerRoman"/>
      <w:lvlText w:val="%9."/>
      <w:lvlJc w:val="left"/>
      <w:pPr>
        <w:ind w:left="40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23"/>
    <w:rsid w:val="0000324E"/>
    <w:rsid w:val="0002305F"/>
    <w:rsid w:val="00025E8A"/>
    <w:rsid w:val="0004629C"/>
    <w:rsid w:val="000B2402"/>
    <w:rsid w:val="000D0A80"/>
    <w:rsid w:val="000E5B24"/>
    <w:rsid w:val="00105B94"/>
    <w:rsid w:val="00114384"/>
    <w:rsid w:val="00114722"/>
    <w:rsid w:val="001444E9"/>
    <w:rsid w:val="001749F4"/>
    <w:rsid w:val="00174A42"/>
    <w:rsid w:val="001A5D66"/>
    <w:rsid w:val="001B3258"/>
    <w:rsid w:val="001B6112"/>
    <w:rsid w:val="001C23A9"/>
    <w:rsid w:val="00214F06"/>
    <w:rsid w:val="00225B7F"/>
    <w:rsid w:val="00230EE1"/>
    <w:rsid w:val="00250336"/>
    <w:rsid w:val="00262B1C"/>
    <w:rsid w:val="002A3596"/>
    <w:rsid w:val="002C47D4"/>
    <w:rsid w:val="002D6C5C"/>
    <w:rsid w:val="002E1A97"/>
    <w:rsid w:val="002E748C"/>
    <w:rsid w:val="00317D27"/>
    <w:rsid w:val="00347033"/>
    <w:rsid w:val="00377363"/>
    <w:rsid w:val="003B6801"/>
    <w:rsid w:val="003C7430"/>
    <w:rsid w:val="003D446A"/>
    <w:rsid w:val="003D65BD"/>
    <w:rsid w:val="003E6E90"/>
    <w:rsid w:val="004130FD"/>
    <w:rsid w:val="00426C6C"/>
    <w:rsid w:val="004316B2"/>
    <w:rsid w:val="0043248C"/>
    <w:rsid w:val="004328E5"/>
    <w:rsid w:val="00456B14"/>
    <w:rsid w:val="00473B97"/>
    <w:rsid w:val="004827FA"/>
    <w:rsid w:val="00492557"/>
    <w:rsid w:val="0049600D"/>
    <w:rsid w:val="0049790F"/>
    <w:rsid w:val="004B4E34"/>
    <w:rsid w:val="004D695B"/>
    <w:rsid w:val="004E07AB"/>
    <w:rsid w:val="004E261A"/>
    <w:rsid w:val="00506651"/>
    <w:rsid w:val="00511754"/>
    <w:rsid w:val="005117B6"/>
    <w:rsid w:val="0052155C"/>
    <w:rsid w:val="00532CE5"/>
    <w:rsid w:val="005447E2"/>
    <w:rsid w:val="005648FA"/>
    <w:rsid w:val="00577675"/>
    <w:rsid w:val="005C0081"/>
    <w:rsid w:val="005D292D"/>
    <w:rsid w:val="005D30A6"/>
    <w:rsid w:val="0060333A"/>
    <w:rsid w:val="006164EA"/>
    <w:rsid w:val="006236FD"/>
    <w:rsid w:val="00661C29"/>
    <w:rsid w:val="00661F8D"/>
    <w:rsid w:val="00676584"/>
    <w:rsid w:val="0068606F"/>
    <w:rsid w:val="006B3470"/>
    <w:rsid w:val="00707FD8"/>
    <w:rsid w:val="0072211C"/>
    <w:rsid w:val="00723288"/>
    <w:rsid w:val="00755968"/>
    <w:rsid w:val="0079536F"/>
    <w:rsid w:val="007957EA"/>
    <w:rsid w:val="007A022D"/>
    <w:rsid w:val="007C6962"/>
    <w:rsid w:val="007C7A48"/>
    <w:rsid w:val="007D1012"/>
    <w:rsid w:val="007F7933"/>
    <w:rsid w:val="008055A3"/>
    <w:rsid w:val="008220A0"/>
    <w:rsid w:val="00825443"/>
    <w:rsid w:val="00836BE4"/>
    <w:rsid w:val="00857594"/>
    <w:rsid w:val="00887643"/>
    <w:rsid w:val="00897528"/>
    <w:rsid w:val="00897E59"/>
    <w:rsid w:val="008A1F0E"/>
    <w:rsid w:val="008A4B7B"/>
    <w:rsid w:val="008A5F35"/>
    <w:rsid w:val="008C0462"/>
    <w:rsid w:val="008C6EF0"/>
    <w:rsid w:val="008E2A17"/>
    <w:rsid w:val="008E384E"/>
    <w:rsid w:val="008E4CF9"/>
    <w:rsid w:val="008E5516"/>
    <w:rsid w:val="009055E5"/>
    <w:rsid w:val="009119C7"/>
    <w:rsid w:val="00963194"/>
    <w:rsid w:val="009D25B1"/>
    <w:rsid w:val="009E00C3"/>
    <w:rsid w:val="009E69E4"/>
    <w:rsid w:val="009F77D5"/>
    <w:rsid w:val="00A1366A"/>
    <w:rsid w:val="00A21D55"/>
    <w:rsid w:val="00A246E0"/>
    <w:rsid w:val="00A256B6"/>
    <w:rsid w:val="00A51969"/>
    <w:rsid w:val="00A525E9"/>
    <w:rsid w:val="00A62CD3"/>
    <w:rsid w:val="00A64079"/>
    <w:rsid w:val="00A67B87"/>
    <w:rsid w:val="00A73C97"/>
    <w:rsid w:val="00AB3642"/>
    <w:rsid w:val="00AD4C83"/>
    <w:rsid w:val="00AD4E7C"/>
    <w:rsid w:val="00AF1748"/>
    <w:rsid w:val="00B076E8"/>
    <w:rsid w:val="00B16FE7"/>
    <w:rsid w:val="00B648D7"/>
    <w:rsid w:val="00B816FF"/>
    <w:rsid w:val="00BA49D2"/>
    <w:rsid w:val="00BA56C8"/>
    <w:rsid w:val="00BC22F8"/>
    <w:rsid w:val="00BE60C1"/>
    <w:rsid w:val="00BF624C"/>
    <w:rsid w:val="00BF6FA1"/>
    <w:rsid w:val="00C00D0E"/>
    <w:rsid w:val="00C0481F"/>
    <w:rsid w:val="00C048E6"/>
    <w:rsid w:val="00C04BF8"/>
    <w:rsid w:val="00C660DA"/>
    <w:rsid w:val="00C91CFB"/>
    <w:rsid w:val="00C9640E"/>
    <w:rsid w:val="00CB171D"/>
    <w:rsid w:val="00CB3A7F"/>
    <w:rsid w:val="00CC043C"/>
    <w:rsid w:val="00CC3E94"/>
    <w:rsid w:val="00CC48B1"/>
    <w:rsid w:val="00CE21E4"/>
    <w:rsid w:val="00CF1DFE"/>
    <w:rsid w:val="00D47A70"/>
    <w:rsid w:val="00D54326"/>
    <w:rsid w:val="00D903E8"/>
    <w:rsid w:val="00DE0F25"/>
    <w:rsid w:val="00E50A23"/>
    <w:rsid w:val="00E65C79"/>
    <w:rsid w:val="00E67CCB"/>
    <w:rsid w:val="00E72EFE"/>
    <w:rsid w:val="00E80B08"/>
    <w:rsid w:val="00E943ED"/>
    <w:rsid w:val="00E950C7"/>
    <w:rsid w:val="00EA4A9E"/>
    <w:rsid w:val="00EC6C0E"/>
    <w:rsid w:val="00ED00ED"/>
    <w:rsid w:val="00ED5BFC"/>
    <w:rsid w:val="00EE6ABB"/>
    <w:rsid w:val="00EF6F7C"/>
    <w:rsid w:val="00F230CA"/>
    <w:rsid w:val="00F34E79"/>
    <w:rsid w:val="00F62085"/>
    <w:rsid w:val="00FB6F99"/>
    <w:rsid w:val="00FC3155"/>
    <w:rsid w:val="00FD252E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134E6D-2482-4C0B-8CC7-2E46649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40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4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4079"/>
    <w:rPr>
      <w:sz w:val="20"/>
      <w:szCs w:val="20"/>
    </w:rPr>
  </w:style>
  <w:style w:type="paragraph" w:styleId="a8">
    <w:name w:val="List Paragraph"/>
    <w:basedOn w:val="a"/>
    <w:uiPriority w:val="34"/>
    <w:qFormat/>
    <w:rsid w:val="00BF6FA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F6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6F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moejsmpc</dc:creator>
  <cp:lastModifiedBy>洪麗芬</cp:lastModifiedBy>
  <cp:revision>4</cp:revision>
  <cp:lastPrinted>2017-07-11T08:33:00Z</cp:lastPrinted>
  <dcterms:created xsi:type="dcterms:W3CDTF">2017-07-11T08:37:00Z</dcterms:created>
  <dcterms:modified xsi:type="dcterms:W3CDTF">2017-07-12T03:05:00Z</dcterms:modified>
</cp:coreProperties>
</file>