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5B" w:rsidRDefault="00A50671" w:rsidP="004C2265">
      <w:pPr>
        <w:spacing w:line="400" w:lineRule="exact"/>
        <w:jc w:val="center"/>
        <w:rPr>
          <w:rFonts w:ascii="標楷體" w:eastAsia="標楷體" w:hAnsi="標楷體" w:cs="Arial"/>
          <w:b/>
          <w:sz w:val="28"/>
          <w:szCs w:val="28"/>
        </w:rPr>
      </w:pPr>
      <w:bookmarkStart w:id="0" w:name="_GoBack"/>
      <w:r w:rsidRPr="004C2265">
        <w:rPr>
          <w:rFonts w:ascii="標楷體" w:eastAsia="標楷體" w:hAnsi="標楷體" w:cs="Arial" w:hint="eastAsia"/>
          <w:b/>
          <w:sz w:val="28"/>
          <w:szCs w:val="28"/>
        </w:rPr>
        <w:t>附表、</w:t>
      </w:r>
      <w:r w:rsidR="0063475B" w:rsidRPr="004C2265">
        <w:rPr>
          <w:rFonts w:ascii="標楷體" w:eastAsia="標楷體" w:hAnsi="標楷體" w:cs="Arial" w:hint="eastAsia"/>
          <w:b/>
          <w:sz w:val="28"/>
          <w:szCs w:val="28"/>
        </w:rPr>
        <w:t>教育部補助大學校院推動課程分流計畫103年度補助學校計畫名單</w:t>
      </w:r>
    </w:p>
    <w:bookmarkEnd w:id="0"/>
    <w:p w:rsidR="00197615" w:rsidRPr="004C2265" w:rsidRDefault="00197615" w:rsidP="004C2265">
      <w:pPr>
        <w:spacing w:line="400" w:lineRule="exact"/>
        <w:jc w:val="center"/>
        <w:rPr>
          <w:rFonts w:ascii="標楷體" w:eastAsia="標楷體" w:hAnsi="標楷體" w:cs="Arial" w:hint="eastAsia"/>
          <w:b/>
          <w:sz w:val="28"/>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1276"/>
        <w:gridCol w:w="2301"/>
        <w:gridCol w:w="5670"/>
      </w:tblGrid>
      <w:tr w:rsidR="004C2265" w:rsidRPr="004C2265" w:rsidTr="004C2265">
        <w:trPr>
          <w:trHeight w:val="165"/>
          <w:tblHeader/>
        </w:trPr>
        <w:tc>
          <w:tcPr>
            <w:tcW w:w="562" w:type="dxa"/>
            <w:shd w:val="clear" w:color="auto" w:fill="FFFFCC"/>
            <w:vAlign w:val="center"/>
            <w:hideMark/>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編號</w:t>
            </w:r>
          </w:p>
        </w:tc>
        <w:tc>
          <w:tcPr>
            <w:tcW w:w="1276" w:type="dxa"/>
            <w:shd w:val="clear" w:color="auto" w:fill="FFFFCC"/>
            <w:vAlign w:val="center"/>
            <w:hideMark/>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校名</w:t>
            </w:r>
          </w:p>
        </w:tc>
        <w:tc>
          <w:tcPr>
            <w:tcW w:w="2301" w:type="dxa"/>
            <w:shd w:val="clear" w:color="auto" w:fill="FFFFCC"/>
            <w:vAlign w:val="center"/>
            <w:hideMark/>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執行單位</w:t>
            </w:r>
          </w:p>
        </w:tc>
        <w:tc>
          <w:tcPr>
            <w:tcW w:w="5670" w:type="dxa"/>
            <w:shd w:val="clear" w:color="auto" w:fill="FFFFCC"/>
            <w:vAlign w:val="center"/>
            <w:hideMark/>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計畫名稱</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1</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臺灣大學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物理治療系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物理治療博士班分流教育/臨床組</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2</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國立臺灣</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師範大學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地理系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空間資訊實務課程分流計畫</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3</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國立臺灣</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師範大學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管理學院</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「高科技產業財務金融人才養成」(碩士)課程分流計畫</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4</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國立臺灣師範大學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機電工程系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精密機電工程之創新實務菁英培育計畫</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5</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成功大學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都市計劃學系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前瞻城鄉規劃人才創育計畫Urban Planning UPgrade (UP</w:t>
            </w:r>
            <w:r w:rsidRPr="004C2265">
              <w:rPr>
                <w:rFonts w:ascii="標楷體" w:eastAsia="標楷體" w:hAnsi="標楷體" w:cs="新細明體" w:hint="eastAsia"/>
                <w:kern w:val="0"/>
                <w:vertAlign w:val="superscript"/>
              </w:rPr>
              <w:t>2</w:t>
            </w:r>
            <w:r w:rsidRPr="004C2265">
              <w:rPr>
                <w:rFonts w:ascii="標楷體" w:eastAsia="標楷體" w:hAnsi="標楷體" w:cs="新細明體" w:hint="eastAsia"/>
                <w:kern w:val="0"/>
              </w:rPr>
              <w:t>)</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6</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成功大學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生命科學系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生命科學基礎與實務型人才培育課程分流計畫</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7</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交通大學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科技法律研究所</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法律專業學院實務課程計畫</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8</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中央大學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生命科學系</w:t>
            </w:r>
          </w:p>
        </w:tc>
        <w:tc>
          <w:tcPr>
            <w:tcW w:w="5670" w:type="dxa"/>
            <w:shd w:val="clear" w:color="auto" w:fill="auto"/>
            <w:vAlign w:val="center"/>
            <w:hideMark/>
          </w:tcPr>
          <w:p w:rsidR="0063475B" w:rsidRPr="004C2265" w:rsidRDefault="001A16F9" w:rsidP="004C2265">
            <w:pPr>
              <w:widowControl/>
              <w:rPr>
                <w:rFonts w:ascii="標楷體" w:eastAsia="標楷體" w:hAnsi="標楷體" w:cs="新細明體"/>
                <w:kern w:val="0"/>
              </w:rPr>
            </w:pPr>
            <w:r w:rsidRPr="004C2265">
              <w:rPr>
                <w:rFonts w:ascii="標楷體" w:eastAsia="標楷體" w:hAnsi="標楷體" w:cs="新細明體" w:hint="eastAsia"/>
                <w:kern w:val="0"/>
              </w:rPr>
              <w:t>厚植臺</w:t>
            </w:r>
            <w:r w:rsidR="0063475B" w:rsidRPr="004C2265">
              <w:rPr>
                <w:rFonts w:ascii="標楷體" w:eastAsia="標楷體" w:hAnsi="標楷體" w:cs="新細明體" w:hint="eastAsia"/>
                <w:kern w:val="0"/>
              </w:rPr>
              <w:t>灣生技產業人才培育</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9</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中央大學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土木工程學系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厚植土木工程實務能力暨拓展國際視野之課程精進分流計畫</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10</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中山大學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應用數學系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應用數學系課程分流計畫</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11</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國立高雄</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師範大學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理學院</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尖端人才產學分流培育學程</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12</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國立高雄</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師範大學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科技學院</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科技學院碩士班實務型課程分流計劃</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13</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國立彰化</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師範大學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美術系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根植藝術之文化創意人才育成學分學程與職涯接軌計畫</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14</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臺北大學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通訊工程學系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實務型碩士學程實施計畫</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15</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臺北大學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社會工作學系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社工專業實務戰力倍增計畫</w:t>
            </w:r>
          </w:p>
        </w:tc>
      </w:tr>
      <w:tr w:rsidR="004C2265" w:rsidRPr="004C2265" w:rsidTr="00A50671">
        <w:trPr>
          <w:trHeight w:val="73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16</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嘉義大學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應用化學系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化學課程分流與產業接軌-產業研發實務菁英之培育</w:t>
            </w:r>
          </w:p>
        </w:tc>
      </w:tr>
      <w:tr w:rsidR="004C2265" w:rsidRPr="004C2265" w:rsidTr="004C2265">
        <w:trPr>
          <w:trHeight w:val="551"/>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17</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嘉義大學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生農科技學系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生物技術經營綠色農業之專業技師培育－永續農業之專業人才養成</w:t>
            </w:r>
          </w:p>
        </w:tc>
      </w:tr>
      <w:tr w:rsidR="004C2265" w:rsidRPr="004C2265" w:rsidTr="004C2265">
        <w:trPr>
          <w:trHeight w:val="519"/>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18</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高雄大學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生命科學系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生技產業人才培育課程分流計畫</w:t>
            </w:r>
          </w:p>
        </w:tc>
      </w:tr>
      <w:tr w:rsidR="004C2265" w:rsidRPr="004C2265" w:rsidTr="00A50671">
        <w:trPr>
          <w:trHeight w:val="72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lastRenderedPageBreak/>
              <w:t>19</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東華大學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民族語言與傳播學系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原住民族影音文創人才培育分流計畫</w:t>
            </w:r>
          </w:p>
        </w:tc>
      </w:tr>
      <w:tr w:rsidR="004C2265" w:rsidRPr="004C2265" w:rsidTr="00A50671">
        <w:trPr>
          <w:trHeight w:val="72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20</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國立暨南</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國際大學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觀光休閒與餐旅管理學系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觀光餐旅多元業態課程分流計畫</w:t>
            </w:r>
          </w:p>
        </w:tc>
      </w:tr>
      <w:tr w:rsidR="004C2265" w:rsidRPr="004C2265" w:rsidTr="00A50671">
        <w:trPr>
          <w:trHeight w:val="72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21</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國立暨南</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國際大學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國際文教與比較教育學系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國際文教實務人才培育計畫</w:t>
            </w:r>
          </w:p>
        </w:tc>
      </w:tr>
      <w:tr w:rsidR="004C2265" w:rsidRPr="004C2265" w:rsidTr="00A50671">
        <w:trPr>
          <w:trHeight w:val="72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22</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國立臺北</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藝術大學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舞蹈學系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獨具焦點—舞蹈專業實務課程革新計畫</w:t>
            </w:r>
          </w:p>
        </w:tc>
      </w:tr>
      <w:tr w:rsidR="004C2265" w:rsidRPr="004C2265" w:rsidTr="00A50671">
        <w:trPr>
          <w:trHeight w:val="72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23</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國立臺北</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藝術大學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電影創作學系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電影創作學系碩士班課程分流計畫</w:t>
            </w:r>
          </w:p>
        </w:tc>
      </w:tr>
      <w:tr w:rsidR="004C2265" w:rsidRPr="004C2265" w:rsidTr="00A50671">
        <w:trPr>
          <w:trHeight w:val="72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24</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國立臺灣</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藝術大學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電影學系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產學合作導向課程分流計畫</w:t>
            </w:r>
          </w:p>
        </w:tc>
      </w:tr>
      <w:tr w:rsidR="004C2265" w:rsidRPr="004C2265" w:rsidTr="00A50671">
        <w:trPr>
          <w:trHeight w:val="72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25</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臺東大學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生命科學系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東部生物技術產業研發菁英人才培育</w:t>
            </w:r>
          </w:p>
        </w:tc>
      </w:tr>
      <w:tr w:rsidR="004C2265" w:rsidRPr="004C2265" w:rsidTr="00A50671">
        <w:trPr>
          <w:trHeight w:val="72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26</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臺東大學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華語文學系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「華語文教學實務職能養成課程」計畫</w:t>
            </w:r>
          </w:p>
        </w:tc>
      </w:tr>
      <w:tr w:rsidR="004C2265" w:rsidRPr="004C2265" w:rsidTr="00A50671">
        <w:trPr>
          <w:trHeight w:val="72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27</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臺東大學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數學系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統計、財務與資訊實務課程整合計畫</w:t>
            </w:r>
          </w:p>
        </w:tc>
      </w:tr>
      <w:tr w:rsidR="004C2265" w:rsidRPr="004C2265" w:rsidTr="00A50671">
        <w:trPr>
          <w:trHeight w:val="72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28</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聯合大學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化學工程學系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課程分流之規畫-有效培育永續化工專業人才</w:t>
            </w:r>
          </w:p>
        </w:tc>
      </w:tr>
      <w:tr w:rsidR="004C2265" w:rsidRPr="004C2265" w:rsidTr="00A50671">
        <w:trPr>
          <w:trHeight w:val="72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29</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聯合大學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建築學系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邁向BIM(Building Information Modeling)時代的智慧綠建築專業人才培育計畫</w:t>
            </w:r>
          </w:p>
        </w:tc>
      </w:tr>
      <w:tr w:rsidR="004C2265" w:rsidRPr="004C2265" w:rsidTr="00A50671">
        <w:trPr>
          <w:trHeight w:val="72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30</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國立臺南</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藝術大學</w:t>
            </w:r>
          </w:p>
        </w:tc>
        <w:tc>
          <w:tcPr>
            <w:tcW w:w="2301"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藝術史學系暨藝術史與藝術評論碩士班</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臺灣及東亞文物鑑識與保存實務學程</w:t>
            </w:r>
          </w:p>
        </w:tc>
      </w:tr>
      <w:tr w:rsidR="004C2265" w:rsidRPr="004C2265" w:rsidTr="0063475B">
        <w:trPr>
          <w:trHeight w:val="1095"/>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31</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國立臺北</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教育大學</w:t>
            </w:r>
          </w:p>
        </w:tc>
        <w:tc>
          <w:tcPr>
            <w:tcW w:w="2301"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數位科技數位學系(含玩具與遊戲設計碩士班)</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創新學用合一設計課程之規劃–結合專業生涯輔導與產學實務課程之實踐</w:t>
            </w:r>
          </w:p>
        </w:tc>
      </w:tr>
      <w:tr w:rsidR="004C2265" w:rsidRPr="004C2265" w:rsidTr="00A50671">
        <w:trPr>
          <w:trHeight w:val="889"/>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32</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國立臺北</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教育大學</w:t>
            </w:r>
          </w:p>
        </w:tc>
        <w:tc>
          <w:tcPr>
            <w:tcW w:w="2301"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藝術與造型設計學系(主辦)、文化創意與產業經營學系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藝術、文創與音樂人才分流計畫</w:t>
            </w:r>
          </w:p>
        </w:tc>
      </w:tr>
      <w:tr w:rsidR="004C2265" w:rsidRPr="004C2265" w:rsidTr="0063475B">
        <w:trPr>
          <w:trHeight w:val="398"/>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33</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國立新竹</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教育大學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教育學院</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「教育發展產業專業學院」建置計畫</w:t>
            </w:r>
          </w:p>
        </w:tc>
      </w:tr>
      <w:tr w:rsidR="004C2265" w:rsidRPr="004C2265" w:rsidTr="0063475B">
        <w:trPr>
          <w:trHeight w:val="121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34</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國立新竹</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教育大學</w:t>
            </w:r>
          </w:p>
        </w:tc>
        <w:tc>
          <w:tcPr>
            <w:tcW w:w="2301"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環境與文化資源學系、教育心理與諮商學系、體育學系、藝術與設計學系、應用科學系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綠色創意生活專業學院</w:t>
            </w:r>
          </w:p>
        </w:tc>
      </w:tr>
      <w:tr w:rsidR="004C2265" w:rsidRPr="004C2265" w:rsidTr="0063475B">
        <w:trPr>
          <w:trHeight w:val="18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35</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國立新竹</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lastRenderedPageBreak/>
              <w:t>教育大學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lastRenderedPageBreak/>
              <w:t>藝術與設計學系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文化與藝術產經學分學程</w:t>
            </w:r>
          </w:p>
        </w:tc>
      </w:tr>
      <w:tr w:rsidR="004C2265" w:rsidRPr="004C2265" w:rsidTr="0063475B">
        <w:trPr>
          <w:trHeight w:val="7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lastRenderedPageBreak/>
              <w:t>36</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屏東大學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人文社會學院</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敘事與數位媒體應用實務課程分流計畫</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37</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國立臺灣體育運動大學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運動管理學系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運動觀光與產業連結計畫</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38</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臺北</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市立大學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地球環境暨生物資源學系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都會永續綠領人才培育計畫</w:t>
            </w:r>
          </w:p>
        </w:tc>
      </w:tr>
      <w:tr w:rsidR="004C2265" w:rsidRPr="004C2265" w:rsidTr="004C2265">
        <w:trPr>
          <w:trHeight w:val="230"/>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39</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臺北</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市立大學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應用物理暨化學系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綠色能源產業創新人才培育計畫</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40</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東海大學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創意設計暨藝術學院</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「綠色互動音樂劇」共同習作方案：創新藝術-設計課群先導實驗</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41</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東海大學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電機工程學系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前瞻智慧化產業就業圓夢課程分流計畫</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42</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輔仁大學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民生學院-食品營養博士學位學程</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學用合一導向的課程分流規劃與創新跨領域食品營養民生保健科學整合人才培育計畫</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43</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輔仁大學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理工學院</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結合教學，研究與展業之創新模式 - 科技產業化學分學程引導之課程改質</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44</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輔仁大學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管理學院-金融與國際企業學系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金融與國際企業課程分流計畫</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45</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東吳大學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化學系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增加實務型課程與產業連結</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46</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中原大學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生物醫學工程學系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醫療器材專業技術人才之培訓</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kern w:val="0"/>
              </w:rPr>
              <w:t>47</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中原大學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應用華語文學系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華語文實務導向課程適性分流計畫</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kern w:val="0"/>
              </w:rPr>
              <w:t>48</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淡江大學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電機工程學系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智慧自動化與機器人產業</w:t>
            </w:r>
            <w:r w:rsidRPr="004C2265">
              <w:rPr>
                <w:rFonts w:ascii="標楷體" w:eastAsia="標楷體" w:hAnsi="標楷體" w:cs="新細明體" w:hint="eastAsia"/>
                <w:kern w:val="0"/>
              </w:rPr>
              <w:br/>
              <w:t>人才培育計畫</w:t>
            </w:r>
          </w:p>
        </w:tc>
      </w:tr>
      <w:tr w:rsidR="004C2265" w:rsidRPr="004C2265" w:rsidTr="004C2265">
        <w:trPr>
          <w:trHeight w:val="595"/>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kern w:val="0"/>
              </w:rPr>
              <w:t>49</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中國文化</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工學院紡織工程學系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培養學生多元適性發展之紡織產業實習課程分流計畫</w:t>
            </w:r>
          </w:p>
        </w:tc>
      </w:tr>
      <w:tr w:rsidR="004C2265" w:rsidRPr="004C2265" w:rsidTr="004C2265">
        <w:trPr>
          <w:trHeight w:val="294"/>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5</w:t>
            </w:r>
            <w:r w:rsidRPr="004C2265">
              <w:rPr>
                <w:rFonts w:ascii="標楷體" w:eastAsia="標楷體" w:hAnsi="標楷體" w:cs="新細明體"/>
                <w:kern w:val="0"/>
              </w:rPr>
              <w:t>0</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中國文化</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環境設計學院景觀學系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景觀規劃設計人才培育課程分流計畫</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51</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逢甲大學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工業工程與系統管理學系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「傳統產業專業特色學系」課程分流與產業聯盟鏈結計畫</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52</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逢甲大學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資電學院</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推動「智慧聯網產業學院」課程分流與產業鏈結計畫</w:t>
            </w:r>
          </w:p>
        </w:tc>
      </w:tr>
      <w:tr w:rsidR="004C2265" w:rsidRPr="004C2265" w:rsidTr="0063475B">
        <w:trPr>
          <w:trHeight w:val="76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53</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逢甲大學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建築學系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逢甲大學建築學系IF 課程分流計畫</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lastRenderedPageBreak/>
              <w:t>54</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靜宜大學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財務金融學系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全方位金融服務人才培育計畫</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55</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靜宜大學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應用化學系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應化系碩士班課程分流</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56</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靜宜大學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生態人文學系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生態人文業紮根計畫</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57</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元智大學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機械工程學系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以階層式Capstone課程設計暨創新教學為基礎之機械領域產業人才培育計畫</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58</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元智大學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管理學院</w:t>
            </w:r>
            <w:r w:rsidRPr="004C2265">
              <w:rPr>
                <w:rFonts w:ascii="標楷體" w:eastAsia="標楷體" w:hAnsi="標楷體" w:cs="新細明體" w:hint="eastAsia"/>
                <w:kern w:val="0"/>
              </w:rPr>
              <w:br/>
              <w:t>學士班</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創意休閒旅遊服務產業人才培育計畫</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59</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元智大學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藝術與設計學系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以地域文化與生活創意為基礎之文創設計工作坊</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60</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中華大學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觀光學院</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觀光特色專業人才精進培育計畫</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61</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中華大學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應用日語學系/觀光學院</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日語導遊/領隊人才培育計畫</w:t>
            </w:r>
          </w:p>
        </w:tc>
      </w:tr>
      <w:tr w:rsidR="004C2265" w:rsidRPr="004C2265" w:rsidTr="004C2265">
        <w:trPr>
          <w:trHeight w:val="435"/>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62</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大葉大學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機械與自動化工程學系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創業創新綠色機電學程</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63</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大葉大學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環境工程學系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造紙科技專業人才培育</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64</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大葉大學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醫療器材設計與材料學位學程</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醫療器材設計與材料學位學程</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65</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義守大學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電機資訊學院</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鋼鐵專業學院</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66</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銘傳大學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傳播學院</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新媒體與傳播實務整合與創新</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67</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銘傳大學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商品設計學系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銀髮族健康照護服務設計學程</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68</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高雄醫學</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口腔衛生學系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口腔健康課程分流</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69</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高雄醫學</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藥學系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培育學用合一分流發展之藥學專業人才</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70</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南華大學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旅遊管理學系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永續發展觀光學院課程分流計畫</w:t>
            </w:r>
          </w:p>
        </w:tc>
      </w:tr>
      <w:tr w:rsidR="004C2265" w:rsidRPr="004C2265" w:rsidTr="0063475B">
        <w:trPr>
          <w:trHeight w:val="756"/>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71</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南華大學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生死學系所</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生命關懷專業學院-建構「畢業即就業」專業人才課程分流教育模式</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lastRenderedPageBreak/>
              <w:t>72</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真理大學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管理學院</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資訊服務課程分流創新育成計畫</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73</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大同大學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應用外語系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職場導向實務課程分流計畫</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74</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大同大學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設計學院</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設計學院課程分流推動計畫：培育從創意到創業之設計師</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75</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慈濟大學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人類發展學系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人類發展學系實務導向</w:t>
            </w:r>
            <w:r w:rsidRPr="004C2265">
              <w:rPr>
                <w:rFonts w:ascii="標楷體" w:eastAsia="標楷體" w:hAnsi="標楷體" w:cs="新細明體" w:hint="eastAsia"/>
                <w:kern w:val="0"/>
              </w:rPr>
              <w:br/>
              <w:t>課程分流計畫</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76</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臺北醫學</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醫學檢驗暨生物技術學系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生技產業實務人才培育計畫</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77</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臺北醫學</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牙體技術學系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口腔醫學工程暨材料實務人才培育計畫</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78</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中山醫學</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生物醫學科學學系</w:t>
            </w:r>
          </w:p>
        </w:tc>
        <w:tc>
          <w:tcPr>
            <w:tcW w:w="5670" w:type="dxa"/>
            <w:shd w:val="clear" w:color="auto" w:fill="auto"/>
            <w:vAlign w:val="center"/>
            <w:hideMark/>
          </w:tcPr>
          <w:p w:rsidR="0063475B" w:rsidRPr="004C2265" w:rsidRDefault="0063475B" w:rsidP="004C2265">
            <w:pPr>
              <w:widowControl/>
              <w:jc w:val="both"/>
              <w:rPr>
                <w:rFonts w:ascii="標楷體" w:eastAsia="標楷體" w:hAnsi="標楷體" w:cs="新細明體"/>
                <w:kern w:val="0"/>
              </w:rPr>
            </w:pPr>
            <w:r w:rsidRPr="004C2265">
              <w:rPr>
                <w:rFonts w:ascii="標楷體" w:eastAsia="標楷體" w:hAnsi="標楷體" w:cs="新細明體" w:hint="eastAsia"/>
                <w:kern w:val="0"/>
              </w:rPr>
              <w:t>建立生物醫學實務分流培育台灣生醫生技產業優質核心人才</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79</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長榮大學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社會工作學系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高齡跨域服務導向人才培訓計畫</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80</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中國醫藥</w:t>
            </w:r>
          </w:p>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生物科技學系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醫藥生技關鍵技術人才加值培育計畫</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81</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玄奘大學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藝術與創意設計學系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繪畫文創模組專業分流之人才培育計畫</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82</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亞洲大學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保健營養生技學系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培育菁英與實務保健營養人才課程分流計畫</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83</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開南大學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運輸科技與管理學系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運輸觀光產業專業課程</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84</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佛光大學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管理學系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觀光旅遊學程課程分流計畫</w:t>
            </w:r>
          </w:p>
        </w:tc>
      </w:tr>
      <w:tr w:rsidR="004C2265" w:rsidRPr="004C2265" w:rsidTr="0063475B">
        <w:trPr>
          <w:trHeight w:val="787"/>
        </w:trPr>
        <w:tc>
          <w:tcPr>
            <w:tcW w:w="562" w:type="dxa"/>
            <w:shd w:val="clear" w:color="auto" w:fill="auto"/>
            <w:vAlign w:val="center"/>
          </w:tcPr>
          <w:p w:rsidR="0063475B" w:rsidRPr="004C2265" w:rsidRDefault="0063475B" w:rsidP="004C2265">
            <w:pPr>
              <w:widowControl/>
              <w:jc w:val="center"/>
              <w:rPr>
                <w:rFonts w:ascii="標楷體" w:eastAsia="標楷體" w:hAnsi="標楷體" w:cs="新細明體"/>
                <w:kern w:val="0"/>
              </w:rPr>
            </w:pPr>
            <w:r w:rsidRPr="004C2265">
              <w:rPr>
                <w:rFonts w:ascii="標楷體" w:eastAsia="標楷體" w:hAnsi="標楷體" w:cs="新細明體" w:hint="eastAsia"/>
                <w:kern w:val="0"/>
              </w:rPr>
              <w:t>85</w:t>
            </w:r>
          </w:p>
        </w:tc>
        <w:tc>
          <w:tcPr>
            <w:tcW w:w="1276" w:type="dxa"/>
            <w:shd w:val="clear" w:color="auto" w:fill="auto"/>
            <w:vAlign w:val="center"/>
            <w:hideMark/>
          </w:tcPr>
          <w:p w:rsidR="0063475B" w:rsidRPr="004C2265" w:rsidRDefault="0063475B" w:rsidP="004C2265">
            <w:pPr>
              <w:widowControl/>
              <w:jc w:val="distribute"/>
              <w:rPr>
                <w:rFonts w:ascii="標楷體" w:eastAsia="標楷體" w:hAnsi="標楷體" w:cs="新細明體"/>
                <w:kern w:val="0"/>
              </w:rPr>
            </w:pPr>
            <w:r w:rsidRPr="004C2265">
              <w:rPr>
                <w:rFonts w:ascii="標楷體" w:eastAsia="標楷體" w:hAnsi="標楷體" w:cs="新細明體" w:hint="eastAsia"/>
                <w:kern w:val="0"/>
              </w:rPr>
              <w:t>明道大學</w:t>
            </w:r>
          </w:p>
        </w:tc>
        <w:tc>
          <w:tcPr>
            <w:tcW w:w="2301"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時尚造形學系</w:t>
            </w:r>
          </w:p>
        </w:tc>
        <w:tc>
          <w:tcPr>
            <w:tcW w:w="5670" w:type="dxa"/>
            <w:shd w:val="clear" w:color="auto" w:fill="auto"/>
            <w:vAlign w:val="center"/>
            <w:hideMark/>
          </w:tcPr>
          <w:p w:rsidR="0063475B" w:rsidRPr="004C2265" w:rsidRDefault="0063475B" w:rsidP="004C2265">
            <w:pPr>
              <w:widowControl/>
              <w:rPr>
                <w:rFonts w:ascii="標楷體" w:eastAsia="標楷體" w:hAnsi="標楷體" w:cs="新細明體"/>
                <w:kern w:val="0"/>
              </w:rPr>
            </w:pPr>
            <w:r w:rsidRPr="004C2265">
              <w:rPr>
                <w:rFonts w:ascii="標楷體" w:eastAsia="標楷體" w:hAnsi="標楷體" w:cs="新細明體" w:hint="eastAsia"/>
                <w:kern w:val="0"/>
              </w:rPr>
              <w:t>時尚產業網路行銷學程計畫</w:t>
            </w:r>
          </w:p>
        </w:tc>
      </w:tr>
    </w:tbl>
    <w:p w:rsidR="00542652" w:rsidRPr="004C2265" w:rsidRDefault="00542652" w:rsidP="004C2265">
      <w:pPr>
        <w:adjustRightInd w:val="0"/>
        <w:snapToGrid w:val="0"/>
        <w:spacing w:line="400" w:lineRule="exact"/>
        <w:ind w:firstLineChars="200" w:firstLine="560"/>
        <w:jc w:val="both"/>
        <w:rPr>
          <w:rFonts w:ascii="標楷體" w:eastAsia="標楷體" w:hAnsi="標楷體" w:cs="Arial"/>
          <w:sz w:val="28"/>
          <w:szCs w:val="28"/>
        </w:rPr>
      </w:pPr>
    </w:p>
    <w:sectPr w:rsidR="00542652" w:rsidRPr="004C2265" w:rsidSect="001C320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659" w:rsidRDefault="00E23659" w:rsidP="00532FE7">
      <w:r>
        <w:separator/>
      </w:r>
    </w:p>
  </w:endnote>
  <w:endnote w:type="continuationSeparator" w:id="0">
    <w:p w:rsidR="00E23659" w:rsidRDefault="00E23659" w:rsidP="0053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659" w:rsidRDefault="00E23659" w:rsidP="00532FE7">
      <w:r>
        <w:separator/>
      </w:r>
    </w:p>
  </w:footnote>
  <w:footnote w:type="continuationSeparator" w:id="0">
    <w:p w:rsidR="00E23659" w:rsidRDefault="00E23659" w:rsidP="00532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04"/>
    <w:rsid w:val="00075A45"/>
    <w:rsid w:val="00082035"/>
    <w:rsid w:val="0009565F"/>
    <w:rsid w:val="000A6039"/>
    <w:rsid w:val="000E7E13"/>
    <w:rsid w:val="00104548"/>
    <w:rsid w:val="00142A77"/>
    <w:rsid w:val="001439E1"/>
    <w:rsid w:val="0017308E"/>
    <w:rsid w:val="0017387F"/>
    <w:rsid w:val="001803B5"/>
    <w:rsid w:val="00193004"/>
    <w:rsid w:val="00197615"/>
    <w:rsid w:val="001A16F9"/>
    <w:rsid w:val="001B7399"/>
    <w:rsid w:val="001B7629"/>
    <w:rsid w:val="001C3204"/>
    <w:rsid w:val="001D4FDE"/>
    <w:rsid w:val="001D704E"/>
    <w:rsid w:val="001E2C92"/>
    <w:rsid w:val="001F5207"/>
    <w:rsid w:val="00205A09"/>
    <w:rsid w:val="00207B56"/>
    <w:rsid w:val="00261E56"/>
    <w:rsid w:val="00262714"/>
    <w:rsid w:val="00270159"/>
    <w:rsid w:val="002F09E7"/>
    <w:rsid w:val="00326FAB"/>
    <w:rsid w:val="00340394"/>
    <w:rsid w:val="003410DC"/>
    <w:rsid w:val="00352D7F"/>
    <w:rsid w:val="003571B0"/>
    <w:rsid w:val="003720E3"/>
    <w:rsid w:val="00381AD1"/>
    <w:rsid w:val="003B7992"/>
    <w:rsid w:val="00424AB2"/>
    <w:rsid w:val="00452A87"/>
    <w:rsid w:val="004862DC"/>
    <w:rsid w:val="004C2265"/>
    <w:rsid w:val="004E57AD"/>
    <w:rsid w:val="004F31FC"/>
    <w:rsid w:val="00500EE0"/>
    <w:rsid w:val="00507AE3"/>
    <w:rsid w:val="005124C3"/>
    <w:rsid w:val="00517F0A"/>
    <w:rsid w:val="005322DD"/>
    <w:rsid w:val="00532FE7"/>
    <w:rsid w:val="00542652"/>
    <w:rsid w:val="00551D8C"/>
    <w:rsid w:val="00563323"/>
    <w:rsid w:val="005654D5"/>
    <w:rsid w:val="00585359"/>
    <w:rsid w:val="005A0C77"/>
    <w:rsid w:val="005B318C"/>
    <w:rsid w:val="0063475B"/>
    <w:rsid w:val="006B7C86"/>
    <w:rsid w:val="006D218B"/>
    <w:rsid w:val="006E574F"/>
    <w:rsid w:val="007257DC"/>
    <w:rsid w:val="007465BE"/>
    <w:rsid w:val="00772FFE"/>
    <w:rsid w:val="007C3D0A"/>
    <w:rsid w:val="008117D3"/>
    <w:rsid w:val="00816287"/>
    <w:rsid w:val="00840D4E"/>
    <w:rsid w:val="0086639B"/>
    <w:rsid w:val="0086759D"/>
    <w:rsid w:val="008A478D"/>
    <w:rsid w:val="008D0E17"/>
    <w:rsid w:val="008D7576"/>
    <w:rsid w:val="008E7DEE"/>
    <w:rsid w:val="00942E84"/>
    <w:rsid w:val="00955F41"/>
    <w:rsid w:val="009860D5"/>
    <w:rsid w:val="009C1119"/>
    <w:rsid w:val="009C6248"/>
    <w:rsid w:val="009D0B6B"/>
    <w:rsid w:val="009E12AB"/>
    <w:rsid w:val="009E7F75"/>
    <w:rsid w:val="009F30EC"/>
    <w:rsid w:val="00A071B0"/>
    <w:rsid w:val="00A25726"/>
    <w:rsid w:val="00A32505"/>
    <w:rsid w:val="00A33CFB"/>
    <w:rsid w:val="00A50671"/>
    <w:rsid w:val="00A60236"/>
    <w:rsid w:val="00A61055"/>
    <w:rsid w:val="00AA54F2"/>
    <w:rsid w:val="00AC27EE"/>
    <w:rsid w:val="00AC334D"/>
    <w:rsid w:val="00AE3EA1"/>
    <w:rsid w:val="00AE3EF9"/>
    <w:rsid w:val="00B131E4"/>
    <w:rsid w:val="00B17900"/>
    <w:rsid w:val="00B22979"/>
    <w:rsid w:val="00B241B0"/>
    <w:rsid w:val="00B3772B"/>
    <w:rsid w:val="00B474BD"/>
    <w:rsid w:val="00B505F3"/>
    <w:rsid w:val="00B507CC"/>
    <w:rsid w:val="00B53170"/>
    <w:rsid w:val="00B66057"/>
    <w:rsid w:val="00B71579"/>
    <w:rsid w:val="00B7177C"/>
    <w:rsid w:val="00B72815"/>
    <w:rsid w:val="00B950CD"/>
    <w:rsid w:val="00BD0CA7"/>
    <w:rsid w:val="00C26D32"/>
    <w:rsid w:val="00C31FCA"/>
    <w:rsid w:val="00C3269A"/>
    <w:rsid w:val="00C5357B"/>
    <w:rsid w:val="00C70ACC"/>
    <w:rsid w:val="00CA3793"/>
    <w:rsid w:val="00CC3997"/>
    <w:rsid w:val="00CD72E7"/>
    <w:rsid w:val="00D10C0A"/>
    <w:rsid w:val="00D3221F"/>
    <w:rsid w:val="00D35125"/>
    <w:rsid w:val="00D637FF"/>
    <w:rsid w:val="00D774B8"/>
    <w:rsid w:val="00DA7CD1"/>
    <w:rsid w:val="00DC2420"/>
    <w:rsid w:val="00DF74A7"/>
    <w:rsid w:val="00E10C36"/>
    <w:rsid w:val="00E23659"/>
    <w:rsid w:val="00E312AD"/>
    <w:rsid w:val="00E43054"/>
    <w:rsid w:val="00E65037"/>
    <w:rsid w:val="00E70B9C"/>
    <w:rsid w:val="00EA7226"/>
    <w:rsid w:val="00EB29CE"/>
    <w:rsid w:val="00EC60F9"/>
    <w:rsid w:val="00EE12B4"/>
    <w:rsid w:val="00EE26E0"/>
    <w:rsid w:val="00EF0079"/>
    <w:rsid w:val="00EF03A3"/>
    <w:rsid w:val="00F15200"/>
    <w:rsid w:val="00F3308A"/>
    <w:rsid w:val="00F512E8"/>
    <w:rsid w:val="00FA0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39D9B7-59A5-45EE-9963-EF1740CF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2FE7"/>
    <w:pPr>
      <w:tabs>
        <w:tab w:val="center" w:pos="4153"/>
        <w:tab w:val="right" w:pos="8306"/>
      </w:tabs>
      <w:snapToGrid w:val="0"/>
    </w:pPr>
    <w:rPr>
      <w:sz w:val="20"/>
      <w:szCs w:val="20"/>
    </w:rPr>
  </w:style>
  <w:style w:type="character" w:customStyle="1" w:styleId="a4">
    <w:name w:val="頁首 字元"/>
    <w:basedOn w:val="a0"/>
    <w:link w:val="a3"/>
    <w:rsid w:val="00532FE7"/>
    <w:rPr>
      <w:kern w:val="2"/>
    </w:rPr>
  </w:style>
  <w:style w:type="paragraph" w:styleId="a5">
    <w:name w:val="footer"/>
    <w:basedOn w:val="a"/>
    <w:link w:val="a6"/>
    <w:rsid w:val="00532FE7"/>
    <w:pPr>
      <w:tabs>
        <w:tab w:val="center" w:pos="4153"/>
        <w:tab w:val="right" w:pos="8306"/>
      </w:tabs>
      <w:snapToGrid w:val="0"/>
    </w:pPr>
    <w:rPr>
      <w:sz w:val="20"/>
      <w:szCs w:val="20"/>
    </w:rPr>
  </w:style>
  <w:style w:type="character" w:customStyle="1" w:styleId="a6">
    <w:name w:val="頁尾 字元"/>
    <w:basedOn w:val="a0"/>
    <w:link w:val="a5"/>
    <w:rsid w:val="00532FE7"/>
    <w:rPr>
      <w:kern w:val="2"/>
    </w:rPr>
  </w:style>
  <w:style w:type="paragraph" w:styleId="a7">
    <w:name w:val="Balloon Text"/>
    <w:basedOn w:val="a"/>
    <w:link w:val="a8"/>
    <w:rsid w:val="006D218B"/>
    <w:rPr>
      <w:rFonts w:asciiTheme="majorHAnsi" w:eastAsiaTheme="majorEastAsia" w:hAnsiTheme="majorHAnsi" w:cstheme="majorBidi"/>
      <w:sz w:val="18"/>
      <w:szCs w:val="18"/>
    </w:rPr>
  </w:style>
  <w:style w:type="character" w:customStyle="1" w:styleId="a8">
    <w:name w:val="註解方塊文字 字元"/>
    <w:basedOn w:val="a0"/>
    <w:link w:val="a7"/>
    <w:rsid w:val="006D218B"/>
    <w:rPr>
      <w:rFonts w:asciiTheme="majorHAnsi" w:eastAsiaTheme="majorEastAsia" w:hAnsiTheme="majorHAnsi" w:cstheme="majorBidi"/>
      <w:kern w:val="2"/>
      <w:sz w:val="18"/>
      <w:szCs w:val="18"/>
    </w:rPr>
  </w:style>
  <w:style w:type="table" w:styleId="a9">
    <w:name w:val="Table Grid"/>
    <w:basedOn w:val="a1"/>
    <w:rsid w:val="005426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D0E17"/>
    <w:pPr>
      <w:ind w:leftChars="200" w:left="480"/>
    </w:pPr>
  </w:style>
  <w:style w:type="character" w:styleId="ab">
    <w:name w:val="Hyperlink"/>
    <w:basedOn w:val="a0"/>
    <w:rsid w:val="00E10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DE7575-11B7-42B7-944B-47773B7C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484</Words>
  <Characters>2765</Characters>
  <Application>Microsoft Office Word</Application>
  <DocSecurity>0</DocSecurity>
  <Lines>23</Lines>
  <Paragraphs>6</Paragraphs>
  <ScaleCrop>false</ScaleCrop>
  <Company>MOE</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MOEIT</dc:creator>
  <cp:keywords/>
  <dc:description/>
  <cp:lastModifiedBy>moejsmpc</cp:lastModifiedBy>
  <cp:revision>2</cp:revision>
  <cp:lastPrinted>2013-10-23T08:04:00Z</cp:lastPrinted>
  <dcterms:created xsi:type="dcterms:W3CDTF">2015-01-05T02:47:00Z</dcterms:created>
  <dcterms:modified xsi:type="dcterms:W3CDTF">2015-01-05T02:47:00Z</dcterms:modified>
</cp:coreProperties>
</file>