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AE" w:rsidRDefault="00A212DC">
      <w:r>
        <w:rPr>
          <w:rStyle w:val="a3"/>
          <w:rFonts w:ascii="微軟正黑體" w:eastAsia="微軟正黑體" w:hAnsi="微軟正黑體" w:hint="eastAsia"/>
          <w:b w:val="0"/>
          <w:bCs w:val="0"/>
          <w:color w:val="666666"/>
          <w:sz w:val="21"/>
          <w:szCs w:val="21"/>
          <w:shd w:val="clear" w:color="auto" w:fill="FFFFFF"/>
        </w:rPr>
        <w:t>黃居正 董事長（國立清華大學科技法律研究所教授）</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林佳和 董事（國立政治大學法學院副教授）</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許忠信 董事（國立成功大學法學院教授）</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潘淑滿 董事（國立臺灣師範大學社會工作學研究所教授兼任國際與社會科學學院院長）</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葉美玉 董事（慈濟科技大學長期照護研究所教授兼任護理學院院長）</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何孟洋 董事（長庚大學職能治療學系副教授）</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陳淑惠 董事（國立臺灣大學心理學系/所 臨床心理學組教授）</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林三元 董事（司法院司法行政廳副廳長）</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謝銘洋 董事（國立臺灣大學法律學院教授）</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楊庸一 董事（長庚大學職能治療學系兼任副教授）</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陳貞夙 董事（國立臺灣師範大學特殊教育學系、復健諮商研究所助理教授）</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王宮田 董事（臺灣首府大學創辦人）</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林仁益 董事（財團法人金屬工業研究發展中心董事長）</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郭添財 董事（台灣首府大學教育研究所所長）</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張碧澐 董事（新竹市私立世界高級中學校長）</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張德永 董事（國立臺灣師範大學社會教育學系教授兼系主任）</w:t>
      </w:r>
      <w:r>
        <w:rPr>
          <w:rFonts w:ascii="微軟正黑體" w:eastAsia="微軟正黑體" w:hAnsi="微軟正黑體" w:hint="eastAsia"/>
          <w:color w:val="666666"/>
          <w:sz w:val="21"/>
          <w:szCs w:val="21"/>
          <w:shd w:val="clear" w:color="auto" w:fill="FFFFFF"/>
        </w:rPr>
        <w:br/>
      </w:r>
      <w:r>
        <w:rPr>
          <w:rStyle w:val="a3"/>
          <w:rFonts w:ascii="微軟正黑體" w:eastAsia="微軟正黑體" w:hAnsi="微軟正黑體" w:hint="eastAsia"/>
          <w:b w:val="0"/>
          <w:bCs w:val="0"/>
          <w:color w:val="666666"/>
          <w:sz w:val="21"/>
          <w:szCs w:val="21"/>
          <w:shd w:val="clear" w:color="auto" w:fill="FFFFFF"/>
        </w:rPr>
        <w:t>曾清芸 董事（財團法人金車教育基金會總幹事）</w:t>
      </w:r>
      <w:bookmarkStart w:id="0" w:name="_GoBack"/>
      <w:bookmarkEnd w:id="0"/>
    </w:p>
    <w:sectPr w:rsidR="00A81AA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DC"/>
    <w:rsid w:val="008914FE"/>
    <w:rsid w:val="00A212DC"/>
    <w:rsid w:val="00A81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0A3B1-64A2-4C68-9A90-1CF50AD5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1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Andrew</dc:creator>
  <cp:keywords/>
  <dc:description/>
  <cp:lastModifiedBy>Cheng Andrew</cp:lastModifiedBy>
  <cp:revision>1</cp:revision>
  <dcterms:created xsi:type="dcterms:W3CDTF">2017-11-21T02:02:00Z</dcterms:created>
  <dcterms:modified xsi:type="dcterms:W3CDTF">2017-11-21T02:02:00Z</dcterms:modified>
</cp:coreProperties>
</file>