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923" w:type="dxa"/>
        <w:tblInd w:w="-147" w:type="dxa"/>
        <w:tblLook w:val="04A0" w:firstRow="1" w:lastRow="0" w:firstColumn="1" w:lastColumn="0" w:noHBand="0" w:noVBand="1"/>
      </w:tblPr>
      <w:tblGrid>
        <w:gridCol w:w="4962"/>
        <w:gridCol w:w="4961"/>
      </w:tblGrid>
      <w:tr w:rsidR="007179B1" w:rsidTr="0091201B">
        <w:tc>
          <w:tcPr>
            <w:tcW w:w="4962" w:type="dxa"/>
          </w:tcPr>
          <w:p w:rsidR="007179B1" w:rsidRDefault="007179B1">
            <w:r>
              <w:rPr>
                <w:noProof/>
              </w:rPr>
              <w:drawing>
                <wp:inline distT="0" distB="0" distL="0" distR="0" wp14:anchorId="19471E14" wp14:editId="5859B643">
                  <wp:extent cx="2760688" cy="1552575"/>
                  <wp:effectExtent l="0" t="0" r="1905" b="0"/>
                  <wp:docPr id="3" name="圖片 3" descr="D:\3. 元智、逢甲、中正\中正大學-易數邏輯\易數邏輯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. 元智、逢甲、中正\中正大學-易數邏輯\易數邏輯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792" cy="155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7179B1" w:rsidRDefault="007179B1" w:rsidP="0091201B">
            <w:pPr>
              <w:spacing w:line="400" w:lineRule="exact"/>
              <w:jc w:val="both"/>
              <w:rPr>
                <w:noProof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國立中正大學游寶達教授開授的「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易數邏輯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」，</w:t>
            </w:r>
            <w:r w:rsidRPr="00B260CF">
              <w:rPr>
                <w:rFonts w:ascii="標楷體" w:eastAsia="標楷體" w:hAnsi="標楷體" w:hint="eastAsia"/>
                <w:sz w:val="28"/>
                <w:szCs w:val="28"/>
              </w:rPr>
              <w:t>融合理工科學背景開創研習《易經》經典的新法，以淺顯圖文介紹繁複的符號系統，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並自</w:t>
            </w:r>
            <w:r w:rsidRPr="00B260CF">
              <w:rPr>
                <w:rFonts w:ascii="標楷體" w:eastAsia="標楷體" w:hAnsi="標楷體" w:hint="eastAsia"/>
                <w:sz w:val="28"/>
                <w:szCs w:val="28"/>
              </w:rPr>
              <w:t>創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Pr="00B260CF">
              <w:rPr>
                <w:rFonts w:ascii="標楷體" w:eastAsia="標楷體" w:hAnsi="標楷體" w:hint="eastAsia"/>
                <w:sz w:val="28"/>
                <w:szCs w:val="28"/>
              </w:rPr>
              <w:t>邏輯異或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」法則，</w:t>
            </w:r>
            <w:r w:rsidRPr="00B260CF">
              <w:rPr>
                <w:rFonts w:ascii="標楷體" w:eastAsia="標楷體" w:hAnsi="標楷體" w:hint="eastAsia"/>
                <w:sz w:val="28"/>
                <w:szCs w:val="28"/>
              </w:rPr>
              <w:t>不用死背就能</w:t>
            </w:r>
            <w:proofErr w:type="gramStart"/>
            <w:r w:rsidRPr="00B260CF">
              <w:rPr>
                <w:rFonts w:ascii="標楷體" w:eastAsia="標楷體" w:hAnsi="標楷體" w:hint="eastAsia"/>
                <w:sz w:val="28"/>
                <w:szCs w:val="28"/>
              </w:rPr>
              <w:t>掌握易數推演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，讓有興趣挑戰易經的朋友們多了一個</w:t>
            </w:r>
            <w:proofErr w:type="gramStart"/>
            <w:r w:rsidRPr="000E7A25">
              <w:rPr>
                <w:rFonts w:ascii="標楷體" w:eastAsia="標楷體" w:hAnsi="標楷體" w:hint="eastAsia"/>
                <w:sz w:val="28"/>
                <w:szCs w:val="28"/>
              </w:rPr>
              <w:t>可以線上學習</w:t>
            </w:r>
            <w:proofErr w:type="gramEnd"/>
            <w:r w:rsidRPr="000E7A25">
              <w:rPr>
                <w:rFonts w:ascii="標楷體" w:eastAsia="標楷體" w:hAnsi="標楷體" w:hint="eastAsia"/>
                <w:sz w:val="28"/>
                <w:szCs w:val="28"/>
              </w:rPr>
              <w:t>的新選擇</w:t>
            </w:r>
            <w:r w:rsidRPr="00B260C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17131A" w:rsidRDefault="0017131A"/>
    <w:tbl>
      <w:tblPr>
        <w:tblStyle w:val="a3"/>
        <w:tblW w:w="9918" w:type="dxa"/>
        <w:jc w:val="center"/>
        <w:tblLook w:val="04A0" w:firstRow="1" w:lastRow="0" w:firstColumn="1" w:lastColumn="0" w:noHBand="0" w:noVBand="1"/>
      </w:tblPr>
      <w:tblGrid>
        <w:gridCol w:w="4957"/>
        <w:gridCol w:w="4961"/>
      </w:tblGrid>
      <w:tr w:rsidR="0091201B" w:rsidTr="0091201B">
        <w:trPr>
          <w:jc w:val="center"/>
        </w:trPr>
        <w:tc>
          <w:tcPr>
            <w:tcW w:w="4957" w:type="dxa"/>
          </w:tcPr>
          <w:p w:rsidR="0091201B" w:rsidRDefault="0091201B" w:rsidP="003A3C08">
            <w:r>
              <w:rPr>
                <w:noProof/>
              </w:rPr>
              <w:drawing>
                <wp:inline distT="0" distB="0" distL="0" distR="0" wp14:anchorId="5641B0A7" wp14:editId="3122D42E">
                  <wp:extent cx="2857500" cy="1787875"/>
                  <wp:effectExtent l="0" t="0" r="0" b="3175"/>
                  <wp:docPr id="2" name="圖片 2" descr="D:\3. 元智、逢甲、中正\逢甲大學-普物\普物實驗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. 元智、逢甲、中正\逢甲大學-普物\普物實驗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415" cy="180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01B" w:rsidRDefault="0091201B" w:rsidP="003A3C08">
            <w:r>
              <w:rPr>
                <w:rFonts w:hint="eastAsia"/>
                <w:noProof/>
              </w:rPr>
              <w:drawing>
                <wp:inline distT="0" distB="0" distL="0" distR="0" wp14:anchorId="2032B690" wp14:editId="54928196">
                  <wp:extent cx="2857500" cy="1787875"/>
                  <wp:effectExtent l="0" t="0" r="0" b="3175"/>
                  <wp:docPr id="4" name="圖片 4" descr="D:\3. 元智、逢甲、中正\逢甲大學-普物\普物實驗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. 元智、逢甲、中正\逢甲大學-普物\普物實驗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45" cy="180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1201B" w:rsidRDefault="0091201B" w:rsidP="0091201B">
            <w:pPr>
              <w:spacing w:line="400" w:lineRule="exact"/>
              <w:jc w:val="both"/>
              <w:rPr>
                <w:noProof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逢甲大學洪耀正教授的「大學普通物理實驗手作坊」，結合</w:t>
            </w:r>
            <w:r w:rsidRPr="00B260CF">
              <w:rPr>
                <w:rFonts w:ascii="標楷體" w:eastAsia="標楷體" w:hAnsi="標楷體" w:hint="eastAsia"/>
                <w:sz w:val="28"/>
                <w:szCs w:val="28"/>
              </w:rPr>
              <w:t>大學實驗課程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Pr="00B260CF">
              <w:rPr>
                <w:rFonts w:ascii="標楷體" w:eastAsia="標楷體" w:hAnsi="標楷體" w:hint="eastAsia"/>
                <w:sz w:val="28"/>
                <w:szCs w:val="28"/>
              </w:rPr>
              <w:t>School)、居家實驗(Home)與科學博物館大型展示實驗(Museum)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，將傳統僅</w:t>
            </w:r>
            <w:r w:rsidRPr="00B260CF">
              <w:rPr>
                <w:rFonts w:ascii="標楷體" w:eastAsia="標楷體" w:hAnsi="標楷體" w:hint="eastAsia"/>
                <w:sz w:val="28"/>
                <w:szCs w:val="28"/>
              </w:rPr>
              <w:t>在專業實驗室進行的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物理</w:t>
            </w:r>
            <w:r w:rsidRPr="00B260CF">
              <w:rPr>
                <w:rFonts w:ascii="標楷體" w:eastAsia="標楷體" w:hAnsi="標楷體" w:hint="eastAsia"/>
                <w:sz w:val="28"/>
                <w:szCs w:val="28"/>
              </w:rPr>
              <w:t>實驗搬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到</w:t>
            </w:r>
            <w:r w:rsidRPr="00B260CF">
              <w:rPr>
                <w:rFonts w:ascii="標楷體" w:eastAsia="標楷體" w:hAnsi="標楷體" w:hint="eastAsia"/>
                <w:sz w:val="28"/>
                <w:szCs w:val="28"/>
              </w:rPr>
              <w:t>線上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，讓物理實驗不再難懂，隨時隨地都可動手作實驗</w:t>
            </w:r>
            <w:r w:rsidRPr="00B260C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91201B" w:rsidRDefault="0091201B"/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815"/>
        <w:gridCol w:w="4961"/>
      </w:tblGrid>
      <w:tr w:rsidR="0091201B" w:rsidTr="0091201B">
        <w:tc>
          <w:tcPr>
            <w:tcW w:w="4815" w:type="dxa"/>
          </w:tcPr>
          <w:p w:rsidR="0091201B" w:rsidRDefault="0091201B" w:rsidP="003A3C08">
            <w:r>
              <w:rPr>
                <w:noProof/>
              </w:rPr>
              <w:drawing>
                <wp:inline distT="0" distB="0" distL="0" distR="0" wp14:anchorId="00157078" wp14:editId="51886E94">
                  <wp:extent cx="2733675" cy="2098096"/>
                  <wp:effectExtent l="0" t="0" r="0" b="0"/>
                  <wp:docPr id="5" name="圖片 5" descr="D:\4.北藝、師大\北藝大\動作分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4.北藝、師大\北藝大\動作分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059" cy="2119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01B" w:rsidRDefault="0091201B" w:rsidP="003A3C08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070C70" wp14:editId="7B752902">
                  <wp:extent cx="2733675" cy="2098096"/>
                  <wp:effectExtent l="0" t="0" r="0" b="0"/>
                  <wp:docPr id="6" name="圖片 6" descr="D:\4.北藝、師大\北藝大\華文戲劇概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4.北藝、師大\北藝大\華文戲劇概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775" cy="211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961" w:type="dxa"/>
          </w:tcPr>
          <w:p w:rsidR="0091201B" w:rsidRDefault="0091201B" w:rsidP="0091201B">
            <w:pPr>
              <w:spacing w:line="400" w:lineRule="exact"/>
              <w:jc w:val="both"/>
              <w:rPr>
                <w:noProof/>
              </w:rPr>
            </w:pPr>
            <w:r w:rsidRPr="00795BB8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國立</w:t>
            </w:r>
            <w:proofErr w:type="gramStart"/>
            <w:r w:rsidRPr="00795BB8"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proofErr w:type="gramEnd"/>
            <w:r w:rsidRPr="00795BB8">
              <w:rPr>
                <w:rFonts w:ascii="標楷體" w:eastAsia="標楷體" w:hAnsi="標楷體" w:hint="eastAsia"/>
                <w:sz w:val="28"/>
                <w:szCs w:val="28"/>
              </w:rPr>
              <w:t>北藝術大學透過教師及學院教學經驗的累積、結合藝文界各式場域及資源，開設「曠世名琴訴說的故事」、「華文戲劇概論」及「動作分析</w:t>
            </w:r>
            <w:proofErr w:type="gramStart"/>
            <w:r w:rsidRPr="00795BB8">
              <w:rPr>
                <w:rFonts w:ascii="標楷體" w:eastAsia="標楷體" w:hAnsi="標楷體" w:hint="eastAsia"/>
                <w:sz w:val="28"/>
                <w:szCs w:val="28"/>
              </w:rPr>
              <w:t>─</w:t>
            </w:r>
            <w:proofErr w:type="gramEnd"/>
            <w:r w:rsidRPr="00795BB8">
              <w:rPr>
                <w:rFonts w:ascii="標楷體" w:eastAsia="標楷體" w:hAnsi="標楷體" w:hint="eastAsia"/>
                <w:sz w:val="28"/>
                <w:szCs w:val="28"/>
              </w:rPr>
              <w:t>了解身體，了解自己」3門課程，共享藝術教育的薰陶。</w:t>
            </w:r>
          </w:p>
        </w:tc>
      </w:tr>
    </w:tbl>
    <w:p w:rsidR="0091201B" w:rsidRDefault="0091201B"/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4815"/>
        <w:gridCol w:w="5103"/>
      </w:tblGrid>
      <w:tr w:rsidR="0091201B" w:rsidTr="0091201B">
        <w:tc>
          <w:tcPr>
            <w:tcW w:w="4815" w:type="dxa"/>
          </w:tcPr>
          <w:p w:rsidR="0091201B" w:rsidRDefault="0091201B" w:rsidP="003A3C08">
            <w:r>
              <w:rPr>
                <w:noProof/>
              </w:rPr>
              <w:drawing>
                <wp:inline distT="0" distB="0" distL="0" distR="0" wp14:anchorId="2912CACF" wp14:editId="50FB3220">
                  <wp:extent cx="2746338" cy="1819275"/>
                  <wp:effectExtent l="0" t="0" r="0" b="0"/>
                  <wp:docPr id="8" name="圖片 8" descr="D:\4.北藝、師大\師大\華語文教學導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4.北藝、師大\師大\華語文教學導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561" cy="182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01B" w:rsidRDefault="0091201B" w:rsidP="003A3C08">
            <w:r>
              <w:rPr>
                <w:noProof/>
              </w:rPr>
              <w:drawing>
                <wp:inline distT="0" distB="0" distL="0" distR="0" wp14:anchorId="4FBEE80A" wp14:editId="69D8AF7B">
                  <wp:extent cx="2794562" cy="1571625"/>
                  <wp:effectExtent l="0" t="0" r="6350" b="0"/>
                  <wp:docPr id="9" name="圖片 9" descr="D:\4.北藝、師大\師大\臺灣當代藝術與視覺文化鑑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4.北藝、師大\師大\臺灣當代藝術與視覺文化鑑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710" cy="158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01B" w:rsidRDefault="0091201B" w:rsidP="003A3C08">
            <w:r>
              <w:rPr>
                <w:noProof/>
              </w:rPr>
              <w:drawing>
                <wp:inline distT="0" distB="0" distL="0" distR="0" wp14:anchorId="38D0F872" wp14:editId="43D8036F">
                  <wp:extent cx="2794000" cy="1571310"/>
                  <wp:effectExtent l="0" t="0" r="6350" b="0"/>
                  <wp:docPr id="10" name="圖片 10" descr="D:\4.北藝、師大\師大\環境倫理與永續發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4.北藝、師大\師大\環境倫理與永續發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798" cy="158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91201B" w:rsidRDefault="0091201B" w:rsidP="0091201B">
            <w:pPr>
              <w:spacing w:line="400" w:lineRule="exact"/>
              <w:jc w:val="both"/>
              <w:rPr>
                <w:noProof/>
              </w:rPr>
            </w:pPr>
            <w:r w:rsidRPr="00795BB8">
              <w:rPr>
                <w:rFonts w:ascii="標楷體" w:eastAsia="標楷體" w:hAnsi="標楷體" w:hint="eastAsia"/>
                <w:sz w:val="28"/>
                <w:szCs w:val="28"/>
              </w:rPr>
              <w:t>國立臺灣師範大學則以「華語文」、「師資培育」及「通識課程」為主軸，製作特色課程，充分利用學校既有教學資源與特色，奠立學校</w:t>
            </w:r>
            <w:proofErr w:type="gramStart"/>
            <w:r w:rsidRPr="00795BB8">
              <w:rPr>
                <w:rFonts w:ascii="標楷體" w:eastAsia="標楷體" w:hAnsi="標楷體" w:hint="eastAsia"/>
                <w:sz w:val="28"/>
                <w:szCs w:val="28"/>
              </w:rPr>
              <w:t>未來線上教育</w:t>
            </w:r>
            <w:proofErr w:type="gramEnd"/>
            <w:r w:rsidRPr="00795BB8">
              <w:rPr>
                <w:rFonts w:ascii="標楷體" w:eastAsia="標楷體" w:hAnsi="標楷體" w:hint="eastAsia"/>
                <w:sz w:val="28"/>
                <w:szCs w:val="28"/>
              </w:rPr>
              <w:t>擴展方向。</w:t>
            </w:r>
          </w:p>
        </w:tc>
      </w:tr>
    </w:tbl>
    <w:p w:rsidR="0091201B" w:rsidRPr="0091201B" w:rsidRDefault="0091201B">
      <w:pPr>
        <w:rPr>
          <w:rFonts w:hint="eastAsia"/>
        </w:rPr>
      </w:pPr>
    </w:p>
    <w:sectPr w:rsidR="0091201B" w:rsidRPr="0091201B" w:rsidSect="0091201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C16"/>
    <w:rsid w:val="0017131A"/>
    <w:rsid w:val="006C5C16"/>
    <w:rsid w:val="007179B1"/>
    <w:rsid w:val="0091201B"/>
    <w:rsid w:val="00AE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1DE7A1-3282-4D0F-B32D-A3CA11203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5C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moejsmpc</dc:creator>
  <cp:keywords/>
  <dc:description/>
  <cp:lastModifiedBy>moejsmpc</cp:lastModifiedBy>
  <cp:revision>4</cp:revision>
  <dcterms:created xsi:type="dcterms:W3CDTF">2015-01-20T11:27:00Z</dcterms:created>
  <dcterms:modified xsi:type="dcterms:W3CDTF">2015-01-23T06:59:00Z</dcterms:modified>
</cp:coreProperties>
</file>