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C19B" w14:textId="77777777" w:rsidR="003E3E00" w:rsidRPr="002D552A" w:rsidRDefault="003E3E00" w:rsidP="003E3E00">
      <w:pPr>
        <w:rPr>
          <w:rFonts w:ascii="Arial" w:eastAsia="標楷體" w:hAnsi="Arial" w:cs="Arial"/>
          <w:b/>
          <w:sz w:val="32"/>
          <w:szCs w:val="32"/>
          <w:bdr w:val="single" w:sz="4" w:space="0" w:color="auto"/>
        </w:rPr>
      </w:pPr>
      <w:r w:rsidRPr="002D552A">
        <w:rPr>
          <w:rFonts w:ascii="Arial" w:eastAsia="標楷體" w:hAnsi="Arial" w:cs="Arial"/>
          <w:b/>
          <w:sz w:val="32"/>
          <w:szCs w:val="32"/>
          <w:bdr w:val="single" w:sz="4" w:space="0" w:color="auto"/>
        </w:rPr>
        <w:t>附件</w:t>
      </w:r>
      <w:r w:rsidRPr="002D552A">
        <w:rPr>
          <w:rFonts w:ascii="Arial" w:eastAsia="標楷體" w:hAnsi="Arial" w:cs="Arial"/>
          <w:b/>
          <w:sz w:val="32"/>
          <w:szCs w:val="32"/>
          <w:bdr w:val="single" w:sz="4" w:space="0" w:color="auto"/>
        </w:rPr>
        <w:t>2</w:t>
      </w:r>
    </w:p>
    <w:p w14:paraId="07493CDE" w14:textId="1F1A6909" w:rsidR="003E3E00" w:rsidRDefault="003E3E00" w:rsidP="003E3E00">
      <w:pPr>
        <w:adjustRightInd w:val="0"/>
        <w:snapToGrid w:val="0"/>
        <w:spacing w:line="520" w:lineRule="exact"/>
        <w:jc w:val="center"/>
        <w:rPr>
          <w:rFonts w:ascii="Arial" w:eastAsia="標楷體" w:hAnsi="Arial" w:cs="Arial"/>
          <w:b/>
          <w:sz w:val="36"/>
          <w:szCs w:val="36"/>
        </w:rPr>
      </w:pPr>
      <w:r w:rsidRPr="002D552A">
        <w:rPr>
          <w:rFonts w:ascii="Arial" w:eastAsia="標楷體" w:hAnsi="Arial" w:cs="Arial" w:hint="eastAsia"/>
          <w:b/>
          <w:sz w:val="36"/>
          <w:szCs w:val="36"/>
        </w:rPr>
        <w:t>11</w:t>
      </w:r>
      <w:r>
        <w:rPr>
          <w:rFonts w:ascii="Arial" w:eastAsia="標楷體" w:hAnsi="Arial" w:cs="Arial" w:hint="eastAsia"/>
          <w:b/>
          <w:sz w:val="36"/>
          <w:szCs w:val="36"/>
        </w:rPr>
        <w:t>3</w:t>
      </w:r>
      <w:r w:rsidRPr="002D552A">
        <w:rPr>
          <w:rFonts w:ascii="Arial" w:eastAsia="標楷體" w:hAnsi="Arial" w:cs="Arial" w:hint="eastAsia"/>
          <w:b/>
          <w:sz w:val="36"/>
          <w:szCs w:val="36"/>
        </w:rPr>
        <w:t>年教育部訪視各直轄市及縣（市）政府執行樂齡學習政策訪視結果－縣市優良事蹟</w:t>
      </w:r>
    </w:p>
    <w:p w14:paraId="57E957B2" w14:textId="77777777" w:rsidR="003E3E00" w:rsidRPr="00DE63C0" w:rsidRDefault="003E3E00" w:rsidP="003E3E00">
      <w:pPr>
        <w:adjustRightInd w:val="0"/>
        <w:snapToGrid w:val="0"/>
        <w:spacing w:line="520" w:lineRule="exact"/>
        <w:jc w:val="center"/>
        <w:rPr>
          <w:rFonts w:hint="eastAsia"/>
          <w:sz w:val="28"/>
          <w:szCs w:val="28"/>
        </w:rPr>
      </w:pPr>
    </w:p>
    <w:tbl>
      <w:tblPr>
        <w:tblStyle w:val="a4"/>
        <w:tblW w:w="5227" w:type="pct"/>
        <w:tblInd w:w="-289" w:type="dxa"/>
        <w:tblLayout w:type="fixed"/>
        <w:tblLook w:val="04A0" w:firstRow="1" w:lastRow="0" w:firstColumn="1" w:lastColumn="0" w:noHBand="0" w:noVBand="1"/>
      </w:tblPr>
      <w:tblGrid>
        <w:gridCol w:w="1703"/>
        <w:gridCol w:w="6661"/>
        <w:gridCol w:w="1701"/>
      </w:tblGrid>
      <w:tr w:rsidR="00F95D68" w:rsidRPr="002D552A" w14:paraId="15EB067F" w14:textId="77777777" w:rsidTr="00F95D68">
        <w:trPr>
          <w:tblHeader/>
        </w:trPr>
        <w:tc>
          <w:tcPr>
            <w:tcW w:w="846" w:type="pct"/>
            <w:tcBorders>
              <w:bottom w:val="single" w:sz="18" w:space="0" w:color="auto"/>
            </w:tcBorders>
          </w:tcPr>
          <w:p w14:paraId="1FB0C088" w14:textId="77777777" w:rsidR="003E3E00" w:rsidRPr="002D552A" w:rsidRDefault="003E3E00" w:rsidP="00B24C70">
            <w:pPr>
              <w:adjustRightInd w:val="0"/>
              <w:snapToGrid w:val="0"/>
              <w:spacing w:line="400" w:lineRule="exact"/>
              <w:jc w:val="center"/>
              <w:rPr>
                <w:rFonts w:ascii="Arial" w:eastAsia="標楷體" w:hAnsi="Arial" w:cs="Arial"/>
                <w:sz w:val="28"/>
                <w:szCs w:val="28"/>
              </w:rPr>
            </w:pPr>
            <w:r w:rsidRPr="002D552A">
              <w:rPr>
                <w:rFonts w:ascii="Arial" w:eastAsia="標楷體" w:hAnsi="Arial" w:cs="Arial"/>
                <w:sz w:val="28"/>
                <w:szCs w:val="28"/>
              </w:rPr>
              <w:t>獲獎單位</w:t>
            </w:r>
          </w:p>
        </w:tc>
        <w:tc>
          <w:tcPr>
            <w:tcW w:w="3309" w:type="pct"/>
            <w:tcBorders>
              <w:bottom w:val="single" w:sz="18" w:space="0" w:color="auto"/>
            </w:tcBorders>
          </w:tcPr>
          <w:p w14:paraId="5AD6D781" w14:textId="77777777" w:rsidR="003E3E00" w:rsidRPr="002D552A" w:rsidRDefault="003E3E00" w:rsidP="00B24C70">
            <w:pPr>
              <w:adjustRightInd w:val="0"/>
              <w:snapToGrid w:val="0"/>
              <w:spacing w:line="400" w:lineRule="exact"/>
              <w:jc w:val="center"/>
              <w:rPr>
                <w:rFonts w:ascii="Arial" w:eastAsia="標楷體" w:hAnsi="Arial" w:cs="Arial"/>
                <w:sz w:val="28"/>
                <w:szCs w:val="28"/>
              </w:rPr>
            </w:pPr>
            <w:r w:rsidRPr="002D552A">
              <w:rPr>
                <w:rFonts w:ascii="Arial" w:eastAsia="標楷體" w:hAnsi="Arial" w:cs="Arial"/>
                <w:sz w:val="28"/>
                <w:szCs w:val="28"/>
              </w:rPr>
              <w:t>優良事蹟</w:t>
            </w:r>
          </w:p>
        </w:tc>
        <w:tc>
          <w:tcPr>
            <w:tcW w:w="845" w:type="pct"/>
            <w:tcBorders>
              <w:bottom w:val="single" w:sz="18" w:space="0" w:color="auto"/>
            </w:tcBorders>
          </w:tcPr>
          <w:p w14:paraId="7F164F3E" w14:textId="77777777" w:rsidR="003E3E00" w:rsidRPr="002D552A" w:rsidRDefault="003E3E00" w:rsidP="00B24C70">
            <w:pPr>
              <w:adjustRightInd w:val="0"/>
              <w:snapToGrid w:val="0"/>
              <w:spacing w:line="400" w:lineRule="exact"/>
              <w:jc w:val="center"/>
              <w:rPr>
                <w:rFonts w:ascii="Arial" w:eastAsia="標楷體" w:hAnsi="Arial" w:cs="Arial"/>
                <w:sz w:val="28"/>
                <w:szCs w:val="28"/>
              </w:rPr>
            </w:pPr>
            <w:r w:rsidRPr="002D552A">
              <w:rPr>
                <w:rFonts w:ascii="Arial" w:eastAsia="標楷體" w:hAnsi="Arial" w:cs="Arial"/>
                <w:sz w:val="28"/>
                <w:szCs w:val="28"/>
              </w:rPr>
              <w:t>受訪人員</w:t>
            </w:r>
          </w:p>
        </w:tc>
      </w:tr>
      <w:tr w:rsidR="00F95D68" w:rsidRPr="002D552A" w14:paraId="79DF393E" w14:textId="77777777" w:rsidTr="00F95D68">
        <w:tc>
          <w:tcPr>
            <w:tcW w:w="846" w:type="pct"/>
            <w:tcBorders>
              <w:top w:val="single" w:sz="18" w:space="0" w:color="auto"/>
            </w:tcBorders>
          </w:tcPr>
          <w:p w14:paraId="1D0B7777" w14:textId="38B50AA6" w:rsidR="003E3E00" w:rsidRPr="002D552A" w:rsidRDefault="003E3E00" w:rsidP="00F95D68">
            <w:pPr>
              <w:adjustRightInd w:val="0"/>
              <w:snapToGrid w:val="0"/>
              <w:spacing w:line="400" w:lineRule="exact"/>
              <w:jc w:val="center"/>
              <w:rPr>
                <w:rFonts w:ascii="Arial" w:eastAsia="標楷體" w:hAnsi="Arial" w:cs="Arial"/>
                <w:sz w:val="28"/>
                <w:szCs w:val="28"/>
              </w:rPr>
            </w:pPr>
            <w:r w:rsidRPr="005C2011">
              <w:rPr>
                <w:rFonts w:ascii="Arial" w:eastAsia="標楷體" w:hAnsi="Arial" w:cs="Arial"/>
                <w:b/>
                <w:sz w:val="28"/>
                <w:szCs w:val="28"/>
              </w:rPr>
              <w:t>高雄市政府教育局</w:t>
            </w:r>
            <w:r w:rsidRPr="002D552A">
              <w:rPr>
                <w:rFonts w:ascii="Arial" w:eastAsia="標楷體" w:hAnsi="Arial" w:cs="Arial"/>
                <w:sz w:val="28"/>
                <w:szCs w:val="28"/>
              </w:rPr>
              <w:t>(</w:t>
            </w:r>
            <w:r w:rsidRPr="002D552A">
              <w:rPr>
                <w:rFonts w:ascii="Arial" w:eastAsia="標楷體" w:hAnsi="Arial" w:cs="Arial"/>
                <w:sz w:val="28"/>
                <w:szCs w:val="28"/>
              </w:rPr>
              <w:t>特優等</w:t>
            </w:r>
            <w:r w:rsidRPr="002D552A">
              <w:rPr>
                <w:rFonts w:ascii="Arial" w:eastAsia="標楷體" w:hAnsi="Arial" w:cs="Arial"/>
                <w:sz w:val="28"/>
                <w:szCs w:val="28"/>
              </w:rPr>
              <w:t>)</w:t>
            </w:r>
          </w:p>
        </w:tc>
        <w:tc>
          <w:tcPr>
            <w:tcW w:w="3309" w:type="pct"/>
            <w:tcBorders>
              <w:top w:val="single" w:sz="18" w:space="0" w:color="auto"/>
            </w:tcBorders>
          </w:tcPr>
          <w:p w14:paraId="5BF2DA09" w14:textId="3B3FF428" w:rsidR="003E3E00" w:rsidRPr="00F95D68" w:rsidRDefault="00F95D68" w:rsidP="00F95D68">
            <w:pPr>
              <w:adjustRightInd w:val="0"/>
              <w:snapToGrid w:val="0"/>
              <w:spacing w:line="400" w:lineRule="exact"/>
              <w:ind w:left="280" w:hangingChars="100" w:hanging="28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高雄市整體政策規劃方面，能秉持經驗傳承和永續經營的理念，分析高雄市各區域內之課程需求、學習習慣、生活經濟條件、人口密度等進行城鄉差異之分析，另結合局處之相關小組和委員會，辦理各項課程與活動，發揮總體效益。</w:t>
            </w:r>
          </w:p>
          <w:p w14:paraId="0EA361E4" w14:textId="7750BCB0" w:rsidR="003E3E00" w:rsidRPr="00F95D68" w:rsidRDefault="00F95D68" w:rsidP="00F95D68">
            <w:pPr>
              <w:adjustRightInd w:val="0"/>
              <w:snapToGrid w:val="0"/>
              <w:spacing w:line="400" w:lineRule="exact"/>
              <w:ind w:left="280" w:hangingChars="100" w:hanging="28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高雄市為打造</w:t>
            </w:r>
            <w:r w:rsidR="003E3E00" w:rsidRPr="00F95D68">
              <w:rPr>
                <w:rFonts w:ascii="Arial" w:eastAsia="標楷體" w:hAnsi="Arial" w:cs="Arial"/>
                <w:color w:val="000000" w:themeColor="text1"/>
                <w:sz w:val="28"/>
                <w:szCs w:val="28"/>
              </w:rPr>
              <w:t>55</w:t>
            </w:r>
            <w:r w:rsidR="003E3E00" w:rsidRPr="00F95D68">
              <w:rPr>
                <w:rFonts w:ascii="Arial" w:eastAsia="標楷體" w:hAnsi="Arial" w:cs="Arial"/>
                <w:color w:val="000000" w:themeColor="text1"/>
                <w:sz w:val="28"/>
                <w:szCs w:val="28"/>
              </w:rPr>
              <w:t>歲以上樂齡族群處處可學習的環境，鼓勵所轄</w:t>
            </w:r>
            <w:r w:rsidR="003E3E00" w:rsidRPr="00F95D68">
              <w:rPr>
                <w:rFonts w:ascii="Arial" w:eastAsia="標楷體" w:hAnsi="Arial" w:cs="Arial"/>
                <w:color w:val="000000" w:themeColor="text1"/>
                <w:sz w:val="28"/>
                <w:szCs w:val="28"/>
              </w:rPr>
              <w:t>38</w:t>
            </w:r>
            <w:r w:rsidR="003E3E00" w:rsidRPr="00F95D68">
              <w:rPr>
                <w:rFonts w:ascii="Arial" w:eastAsia="標楷體" w:hAnsi="Arial" w:cs="Arial"/>
                <w:color w:val="000000" w:themeColor="text1"/>
                <w:sz w:val="28"/>
                <w:szCs w:val="28"/>
              </w:rPr>
              <w:t>所樂齡學習中心發展有趣的活躍老化課程，像是高雄沿海地區開發海洋教育系列課程，如：舢筏體驗、二仁溪溼地走訪、撿拾漂流木工藝、進行環境教育桌遊等。農產地區則推廣食農教育課程，如：青銀共學種植有機菜、廚餘堆放有機肥、洋蔥減糖料理等。透過設計在地化、漸進式學習主題，不僅豐富了爺爺奶奶退休後的生活日常，並由課程發掘、培訓高齡者個人專長，中心亦成為長輩傳承知識與經驗的最佳舞臺。</w:t>
            </w:r>
          </w:p>
          <w:p w14:paraId="2CEF1A68" w14:textId="48869C3C" w:rsidR="003E3E00" w:rsidRPr="00F95D68" w:rsidRDefault="00F95D68" w:rsidP="00F95D68">
            <w:pPr>
              <w:adjustRightInd w:val="0"/>
              <w:snapToGrid w:val="0"/>
              <w:spacing w:line="400" w:lineRule="exact"/>
              <w:ind w:left="280" w:hangingChars="100" w:hanging="28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高雄市自辦「</w:t>
            </w:r>
            <w:r w:rsidR="003E3E00" w:rsidRPr="00F95D68">
              <w:rPr>
                <w:rFonts w:ascii="Arial" w:eastAsia="標楷體" w:hAnsi="Arial" w:cs="Arial"/>
                <w:color w:val="000000" w:themeColor="text1"/>
                <w:sz w:val="28"/>
                <w:szCs w:val="28"/>
              </w:rPr>
              <w:t>2023</w:t>
            </w:r>
            <w:r w:rsidR="003E3E00" w:rsidRPr="00F95D68">
              <w:rPr>
                <w:rFonts w:ascii="Arial" w:eastAsia="標楷體" w:hAnsi="Arial" w:cs="Arial"/>
                <w:color w:val="000000" w:themeColor="text1"/>
                <w:sz w:val="28"/>
                <w:szCs w:val="28"/>
              </w:rPr>
              <w:t>幸福銀光季」、「樂。無齡博覽會」運用公共空間、百貨公司場域推廣各項高齡社會學習資源，擴大樂齡學習能見度。此外，連續三年積極辦理亞洲樂齡展，關注高齡議題接軌國際。</w:t>
            </w:r>
          </w:p>
          <w:p w14:paraId="6BD4D28F" w14:textId="30AB651C" w:rsidR="003E3E00" w:rsidRPr="00F95D68" w:rsidRDefault="00F95D68" w:rsidP="00F95D68">
            <w:pPr>
              <w:adjustRightInd w:val="0"/>
              <w:snapToGrid w:val="0"/>
              <w:spacing w:line="400" w:lineRule="exact"/>
              <w:ind w:left="280" w:hangingChars="100" w:hanging="28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期望未來與市府共同帶動各中心創造高齡健康生活、智慧生活、快樂生活，實現「山海永續、幸福高雄」的願景。</w:t>
            </w:r>
          </w:p>
        </w:tc>
        <w:tc>
          <w:tcPr>
            <w:tcW w:w="845" w:type="pct"/>
            <w:tcBorders>
              <w:top w:val="single" w:sz="18" w:space="0" w:color="auto"/>
            </w:tcBorders>
          </w:tcPr>
          <w:p w14:paraId="5E9E9C6D" w14:textId="77777777" w:rsidR="003E3E00" w:rsidRDefault="003E3E00" w:rsidP="00B24C70">
            <w:pPr>
              <w:adjustRightInd w:val="0"/>
              <w:snapToGrid w:val="0"/>
              <w:spacing w:line="400" w:lineRule="exact"/>
              <w:jc w:val="center"/>
              <w:rPr>
                <w:rFonts w:ascii="Arial" w:eastAsia="標楷體" w:hAnsi="Arial" w:cs="Arial"/>
                <w:sz w:val="28"/>
                <w:szCs w:val="28"/>
              </w:rPr>
            </w:pPr>
            <w:r>
              <w:rPr>
                <w:rFonts w:ascii="Arial" w:eastAsia="標楷體" w:hAnsi="Arial" w:cs="Arial" w:hint="eastAsia"/>
                <w:sz w:val="28"/>
                <w:szCs w:val="28"/>
              </w:rPr>
              <w:t>教育局</w:t>
            </w:r>
          </w:p>
          <w:p w14:paraId="05E3F1C5" w14:textId="77777777" w:rsidR="003E3E00" w:rsidRDefault="003E3E00" w:rsidP="00B24C70">
            <w:pPr>
              <w:adjustRightInd w:val="0"/>
              <w:snapToGrid w:val="0"/>
              <w:spacing w:line="400" w:lineRule="exact"/>
              <w:jc w:val="center"/>
              <w:rPr>
                <w:rFonts w:ascii="Arial" w:eastAsia="標楷體" w:hAnsi="Arial" w:cs="Arial"/>
                <w:sz w:val="28"/>
                <w:szCs w:val="28"/>
              </w:rPr>
            </w:pPr>
            <w:r w:rsidRPr="00967432">
              <w:rPr>
                <w:rFonts w:ascii="Arial" w:eastAsia="標楷體" w:hAnsi="Arial" w:cs="Arial" w:hint="eastAsia"/>
                <w:sz w:val="28"/>
                <w:szCs w:val="28"/>
              </w:rPr>
              <w:t>王素綾</w:t>
            </w:r>
            <w:r>
              <w:rPr>
                <w:rFonts w:ascii="Arial" w:eastAsia="標楷體" w:hAnsi="Arial" w:cs="Arial" w:hint="eastAsia"/>
                <w:sz w:val="28"/>
                <w:szCs w:val="28"/>
              </w:rPr>
              <w:t>小姐</w:t>
            </w:r>
          </w:p>
          <w:p w14:paraId="14BEC2D3" w14:textId="77777777" w:rsidR="003E3E00" w:rsidRDefault="003E3E00" w:rsidP="00B24C70">
            <w:pPr>
              <w:adjustRightInd w:val="0"/>
              <w:snapToGrid w:val="0"/>
              <w:spacing w:line="200" w:lineRule="exact"/>
              <w:jc w:val="center"/>
              <w:rPr>
                <w:rFonts w:ascii="Arial" w:eastAsia="標楷體" w:hAnsi="Arial" w:cs="Arial"/>
                <w:sz w:val="28"/>
                <w:szCs w:val="28"/>
              </w:rPr>
            </w:pPr>
          </w:p>
          <w:p w14:paraId="7544CB3A" w14:textId="77777777" w:rsidR="003E3E00" w:rsidRDefault="003E3E00" w:rsidP="00B24C70">
            <w:pPr>
              <w:adjustRightInd w:val="0"/>
              <w:snapToGrid w:val="0"/>
              <w:spacing w:line="400" w:lineRule="exact"/>
              <w:jc w:val="center"/>
              <w:rPr>
                <w:rFonts w:ascii="Arial" w:eastAsia="標楷體" w:hAnsi="Arial" w:cs="Arial"/>
                <w:sz w:val="28"/>
                <w:szCs w:val="28"/>
              </w:rPr>
            </w:pPr>
            <w:r w:rsidRPr="00922639">
              <w:rPr>
                <w:rFonts w:ascii="Arial" w:eastAsia="標楷體" w:hAnsi="Arial" w:cs="Arial" w:hint="eastAsia"/>
                <w:sz w:val="28"/>
                <w:szCs w:val="28"/>
              </w:rPr>
              <w:t>07</w:t>
            </w:r>
            <w:r w:rsidRPr="00922639">
              <w:rPr>
                <w:rFonts w:ascii="Arial" w:eastAsia="標楷體" w:hAnsi="Arial" w:cs="Arial"/>
                <w:sz w:val="28"/>
                <w:szCs w:val="28"/>
              </w:rPr>
              <w:t>-7995678</w:t>
            </w:r>
          </w:p>
          <w:p w14:paraId="6B356136" w14:textId="77777777" w:rsidR="003E3E00" w:rsidRPr="001C3D3E" w:rsidRDefault="003E3E00" w:rsidP="00B24C70">
            <w:pPr>
              <w:adjustRightInd w:val="0"/>
              <w:snapToGrid w:val="0"/>
              <w:spacing w:line="400" w:lineRule="exact"/>
              <w:jc w:val="center"/>
              <w:rPr>
                <w:rFonts w:ascii="Arial" w:eastAsia="標楷體" w:hAnsi="Arial" w:cs="Arial"/>
              </w:rPr>
            </w:pPr>
            <w:r w:rsidRPr="00922639">
              <w:rPr>
                <w:rFonts w:ascii="Arial" w:eastAsia="標楷體" w:hAnsi="Arial" w:cs="Arial" w:hint="eastAsia"/>
                <w:sz w:val="28"/>
                <w:szCs w:val="28"/>
              </w:rPr>
              <w:t>轉</w:t>
            </w:r>
            <w:r w:rsidRPr="00922639">
              <w:rPr>
                <w:rFonts w:ascii="Arial" w:eastAsia="標楷體" w:hAnsi="Arial" w:cs="Arial" w:hint="eastAsia"/>
                <w:sz w:val="28"/>
                <w:szCs w:val="28"/>
              </w:rPr>
              <w:t>3097</w:t>
            </w:r>
          </w:p>
        </w:tc>
      </w:tr>
      <w:tr w:rsidR="00F95D68" w:rsidRPr="002D552A" w14:paraId="5C796B5B" w14:textId="77777777" w:rsidTr="00F95D68">
        <w:tc>
          <w:tcPr>
            <w:tcW w:w="846" w:type="pct"/>
          </w:tcPr>
          <w:p w14:paraId="2379F2D9" w14:textId="33B94255" w:rsidR="003E3E00" w:rsidRPr="002D552A" w:rsidRDefault="003E3E00" w:rsidP="00F95D68">
            <w:pPr>
              <w:adjustRightInd w:val="0"/>
              <w:snapToGrid w:val="0"/>
              <w:spacing w:line="400" w:lineRule="exact"/>
              <w:jc w:val="center"/>
              <w:rPr>
                <w:rFonts w:ascii="Arial" w:eastAsia="標楷體" w:hAnsi="Arial" w:cs="Arial"/>
                <w:sz w:val="28"/>
                <w:szCs w:val="28"/>
              </w:rPr>
            </w:pPr>
            <w:r>
              <w:rPr>
                <w:rFonts w:ascii="Arial" w:eastAsia="標楷體" w:hAnsi="Arial" w:cs="Arial" w:hint="eastAsia"/>
                <w:b/>
                <w:sz w:val="28"/>
                <w:szCs w:val="28"/>
              </w:rPr>
              <w:t>宜蘭</w:t>
            </w:r>
            <w:r w:rsidRPr="005C2011">
              <w:rPr>
                <w:rFonts w:ascii="Arial" w:eastAsia="標楷體" w:hAnsi="Arial" w:cs="Arial"/>
                <w:b/>
                <w:sz w:val="28"/>
                <w:szCs w:val="28"/>
              </w:rPr>
              <w:t>縣政府</w:t>
            </w:r>
            <w:r w:rsidRPr="002D552A">
              <w:rPr>
                <w:rFonts w:ascii="Arial" w:eastAsia="標楷體" w:hAnsi="Arial" w:cs="Arial"/>
                <w:sz w:val="28"/>
                <w:szCs w:val="28"/>
              </w:rPr>
              <w:t>(</w:t>
            </w:r>
            <w:r w:rsidRPr="002D552A">
              <w:rPr>
                <w:rFonts w:ascii="Arial" w:eastAsia="標楷體" w:hAnsi="Arial" w:cs="Arial"/>
                <w:sz w:val="28"/>
                <w:szCs w:val="28"/>
              </w:rPr>
              <w:t>特優等</w:t>
            </w:r>
            <w:r w:rsidRPr="002D552A">
              <w:rPr>
                <w:rFonts w:ascii="Arial" w:eastAsia="標楷體" w:hAnsi="Arial" w:cs="Arial"/>
                <w:sz w:val="28"/>
                <w:szCs w:val="28"/>
              </w:rPr>
              <w:t>)</w:t>
            </w:r>
          </w:p>
        </w:tc>
        <w:tc>
          <w:tcPr>
            <w:tcW w:w="3309" w:type="pct"/>
          </w:tcPr>
          <w:p w14:paraId="18662E73" w14:textId="5E456DD9" w:rsidR="003E3E00" w:rsidRPr="00F95D68" w:rsidRDefault="00F95D68" w:rsidP="00F95D68">
            <w:pPr>
              <w:adjustRightInd w:val="0"/>
              <w:snapToGrid w:val="0"/>
              <w:spacing w:line="400" w:lineRule="exact"/>
              <w:ind w:left="280" w:hangingChars="100" w:hanging="28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宜蘭縣的樂齡學習願景為「好健康、好快樂、好精彩、好幸福」，並在拓展多元學習策略等四大目標之下，推動四大策略方向：拓展樂齡學習據點、強化跨局處合作資源連結、建置課程優化創新策略與特色，以及促進貢獻服務及退休人力投入等。</w:t>
            </w:r>
          </w:p>
          <w:p w14:paraId="2310AD6C" w14:textId="3816F3DC" w:rsidR="003E3E00" w:rsidRPr="00F95D68" w:rsidRDefault="00F95D68" w:rsidP="00F95D68">
            <w:pPr>
              <w:adjustRightInd w:val="0"/>
              <w:snapToGrid w:val="0"/>
              <w:spacing w:line="400" w:lineRule="exact"/>
              <w:ind w:left="280" w:hangingChars="100" w:hanging="28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縣府針對全縣樂齡學習建構全縣的樂齡中心的課程地圖，並將代間學習與美感教育規劃成全縣共同主</w:t>
            </w:r>
            <w:r w:rsidR="003E3E00" w:rsidRPr="00F95D68">
              <w:rPr>
                <w:rFonts w:ascii="Arial" w:eastAsia="標楷體" w:hAnsi="Arial" w:cs="Arial"/>
                <w:color w:val="000000" w:themeColor="text1"/>
                <w:sz w:val="28"/>
                <w:szCs w:val="28"/>
              </w:rPr>
              <w:lastRenderedPageBreak/>
              <w:t>題課程，打造全縣特色，同時在課程的安排上也給予各中心以協同合作等方式推出屬於各自的獨特性，具有結構性與共創性。</w:t>
            </w:r>
          </w:p>
          <w:p w14:paraId="51D9D230" w14:textId="72D50AD7" w:rsidR="003E3E00" w:rsidRPr="00F95D68" w:rsidRDefault="00F95D68" w:rsidP="00F95D68">
            <w:pPr>
              <w:adjustRightInd w:val="0"/>
              <w:snapToGrid w:val="0"/>
              <w:spacing w:line="400" w:lineRule="exact"/>
              <w:ind w:left="280" w:hangingChars="100" w:hanging="28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為能提供樂齡學員豐富的課程與體驗活動，推動包括全縣特色課程：繪畫</w:t>
            </w:r>
            <w:r w:rsidR="003E3E00" w:rsidRPr="00F95D68">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樂齡美展</w:t>
            </w:r>
            <w:r w:rsidR="003E3E00" w:rsidRPr="00F95D68">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及祖孫共學兩大主題；另因宜蘭位處臺灣東北角，囿於三面背山、一面向海特殊地形，孕育獨特文化並呈現以三生共構的世外桃源，而開創多樣化的音樂輔療、天才老爸、在地思想起以及生命記憶四個在地文化傳承的課程方案。</w:t>
            </w:r>
          </w:p>
          <w:p w14:paraId="2C615FFE" w14:textId="1A1D38F8" w:rsidR="003E3E00" w:rsidRPr="00F95D68" w:rsidRDefault="00F95D68" w:rsidP="00F95D68">
            <w:pPr>
              <w:adjustRightInd w:val="0"/>
              <w:snapToGrid w:val="0"/>
              <w:spacing w:line="400" w:lineRule="exact"/>
              <w:ind w:left="280" w:hangingChars="100" w:hanging="28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sidR="003E3E00" w:rsidRPr="00F95D68">
              <w:rPr>
                <w:rFonts w:ascii="Arial" w:eastAsia="標楷體" w:hAnsi="Arial" w:cs="Arial"/>
                <w:color w:val="000000" w:themeColor="text1"/>
                <w:sz w:val="28"/>
                <w:szCs w:val="28"/>
              </w:rPr>
              <w:t>未來將會持續努力，永續經營，為長者創造快樂學習、樂而忘齡的美好學習環境</w:t>
            </w:r>
            <w:r w:rsidR="003E3E00" w:rsidRPr="00F95D68">
              <w:rPr>
                <w:rFonts w:ascii="Arial" w:eastAsia="標楷體" w:hAnsi="Arial" w:cs="Arial" w:hint="eastAsia"/>
                <w:color w:val="000000" w:themeColor="text1"/>
                <w:sz w:val="28"/>
                <w:szCs w:val="28"/>
              </w:rPr>
              <w:t>。</w:t>
            </w:r>
          </w:p>
        </w:tc>
        <w:tc>
          <w:tcPr>
            <w:tcW w:w="845" w:type="pct"/>
          </w:tcPr>
          <w:p w14:paraId="2EAC63F9" w14:textId="77777777" w:rsidR="003E3E00" w:rsidRDefault="003E3E00" w:rsidP="00B24C70">
            <w:pPr>
              <w:adjustRightInd w:val="0"/>
              <w:snapToGrid w:val="0"/>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lastRenderedPageBreak/>
              <w:t>教育處</w:t>
            </w:r>
          </w:p>
          <w:p w14:paraId="268412FD" w14:textId="77777777" w:rsidR="003E3E00" w:rsidRDefault="003E3E00" w:rsidP="00B24C70">
            <w:pPr>
              <w:adjustRightInd w:val="0"/>
              <w:snapToGrid w:val="0"/>
              <w:spacing w:line="400" w:lineRule="exact"/>
              <w:jc w:val="center"/>
              <w:rPr>
                <w:rFonts w:ascii="Arial" w:eastAsia="標楷體" w:hAnsi="Arial" w:cs="Arial"/>
                <w:color w:val="000000" w:themeColor="text1"/>
                <w:sz w:val="28"/>
                <w:szCs w:val="28"/>
              </w:rPr>
            </w:pPr>
            <w:r w:rsidRPr="00967432">
              <w:rPr>
                <w:rFonts w:ascii="Arial" w:eastAsia="標楷體" w:hAnsi="Arial" w:cs="Arial" w:hint="eastAsia"/>
                <w:color w:val="000000" w:themeColor="text1"/>
                <w:sz w:val="28"/>
                <w:szCs w:val="28"/>
              </w:rPr>
              <w:t>王莉嫻</w:t>
            </w:r>
            <w:r>
              <w:rPr>
                <w:rFonts w:ascii="Arial" w:eastAsia="標楷體" w:hAnsi="Arial" w:cs="Arial" w:hint="eastAsia"/>
                <w:color w:val="000000" w:themeColor="text1"/>
                <w:sz w:val="28"/>
                <w:szCs w:val="28"/>
              </w:rPr>
              <w:t>小姐</w:t>
            </w:r>
          </w:p>
          <w:p w14:paraId="33D92AFC" w14:textId="77777777" w:rsidR="003E3E00" w:rsidRDefault="003E3E00" w:rsidP="00B24C70">
            <w:pPr>
              <w:adjustRightInd w:val="0"/>
              <w:snapToGrid w:val="0"/>
              <w:spacing w:line="200" w:lineRule="exact"/>
              <w:jc w:val="center"/>
              <w:rPr>
                <w:rFonts w:ascii="Arial" w:eastAsia="標楷體" w:hAnsi="Arial" w:cs="Arial"/>
                <w:color w:val="000000" w:themeColor="text1"/>
                <w:sz w:val="28"/>
                <w:szCs w:val="28"/>
              </w:rPr>
            </w:pPr>
          </w:p>
          <w:p w14:paraId="2D52CC6E" w14:textId="77777777" w:rsidR="003E3E00" w:rsidRPr="002D552A" w:rsidRDefault="003E3E00" w:rsidP="00B24C70">
            <w:pPr>
              <w:adjustRightInd w:val="0"/>
              <w:snapToGrid w:val="0"/>
              <w:spacing w:line="400" w:lineRule="exact"/>
              <w:jc w:val="center"/>
              <w:rPr>
                <w:rFonts w:ascii="Arial" w:eastAsia="標楷體" w:hAnsi="Arial" w:cs="Arial"/>
                <w:sz w:val="28"/>
                <w:szCs w:val="28"/>
              </w:rPr>
            </w:pPr>
            <w:r w:rsidRPr="00922639">
              <w:rPr>
                <w:rFonts w:ascii="Arial" w:eastAsia="標楷體" w:hAnsi="Arial" w:cs="Arial" w:hint="eastAsia"/>
                <w:sz w:val="28"/>
                <w:szCs w:val="28"/>
              </w:rPr>
              <w:t>0910-280-057</w:t>
            </w:r>
          </w:p>
        </w:tc>
      </w:tr>
    </w:tbl>
    <w:p w14:paraId="55E3BCB3" w14:textId="77777777" w:rsidR="001177F2" w:rsidRDefault="001177F2"/>
    <w:sectPr w:rsidR="001177F2" w:rsidSect="003E3E0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62E"/>
    <w:multiLevelType w:val="hybridMultilevel"/>
    <w:tmpl w:val="81DEB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91298A"/>
    <w:multiLevelType w:val="hybridMultilevel"/>
    <w:tmpl w:val="81DEB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00"/>
    <w:rsid w:val="001177F2"/>
    <w:rsid w:val="003E3E00"/>
    <w:rsid w:val="00F95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359F"/>
  <w15:chartTrackingRefBased/>
  <w15:docId w15:val="{CB60B564-D802-4FFD-9B9C-C046567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E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E00"/>
    <w:pPr>
      <w:ind w:left="480"/>
    </w:pPr>
    <w:rPr>
      <w:rFonts w:ascii="Calibri" w:hAnsi="Calibri"/>
      <w:szCs w:val="22"/>
    </w:rPr>
  </w:style>
  <w:style w:type="table" w:styleId="a4">
    <w:name w:val="Table Grid"/>
    <w:basedOn w:val="a1"/>
    <w:uiPriority w:val="39"/>
    <w:rsid w:val="003E3E0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杜憲昌</dc:creator>
  <cp:keywords/>
  <dc:description/>
  <cp:lastModifiedBy>杜憲昌</cp:lastModifiedBy>
  <cp:revision>2</cp:revision>
  <dcterms:created xsi:type="dcterms:W3CDTF">2024-06-17T02:31:00Z</dcterms:created>
  <dcterms:modified xsi:type="dcterms:W3CDTF">2024-06-17T02:37:00Z</dcterms:modified>
</cp:coreProperties>
</file>