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2E3A">
      <w:pPr>
        <w:spacing w:line="360" w:lineRule="exact"/>
        <w:jc w:val="center"/>
        <w:rPr>
          <w:rFonts w:ascii="細明體" w:eastAsia="細明體" w:hAnsi="細明體" w:hint="eastAsia"/>
          <w:b/>
          <w:sz w:val="36"/>
        </w:rPr>
      </w:pPr>
      <w:bookmarkStart w:id="0" w:name="_GoBack"/>
      <w:bookmarkEnd w:id="0"/>
      <w:r>
        <w:rPr>
          <w:rFonts w:ascii="細明體" w:eastAsia="細明體" w:hAnsi="細明體" w:hint="eastAsia"/>
          <w:b/>
          <w:sz w:val="36"/>
        </w:rPr>
        <w:t>台灣學術網路管理規範（草案）</w:t>
      </w:r>
      <w:r>
        <w:rPr>
          <w:rFonts w:ascii="細明體" w:eastAsia="細明體" w:hAnsi="細明體" w:hint="eastAsia"/>
          <w:b/>
          <w:sz w:val="36"/>
        </w:rPr>
        <w:t>-</w:t>
      </w:r>
      <w:r>
        <w:rPr>
          <w:rFonts w:ascii="細明體" w:eastAsia="細明體" w:hAnsi="細明體" w:hint="eastAsia"/>
          <w:b/>
          <w:sz w:val="36"/>
        </w:rPr>
        <w:t>精簡版</w:t>
      </w:r>
    </w:p>
    <w:p w:rsidR="00000000" w:rsidRDefault="00AE6675">
      <w:pPr>
        <w:spacing w:line="360" w:lineRule="exact"/>
        <w:jc w:val="center"/>
        <w:rPr>
          <w:rFonts w:ascii="細明體" w:eastAsia="細明體" w:hAnsi="細明體" w:hint="eastAsia"/>
          <w:sz w:val="28"/>
        </w:rPr>
      </w:pPr>
      <w:r>
        <w:rPr>
          <w:rFonts w:ascii="細明體" w:eastAsia="細明體" w:hAnsi="細明體"/>
          <w:noProof/>
          <w:sz w:val="20"/>
        </w:rPr>
        <mc:AlternateContent>
          <mc:Choice Requires="wps">
            <w:drawing>
              <wp:anchor distT="0" distB="0" distL="114300" distR="114300" simplePos="0" relativeHeight="251657728" behindDoc="0" locked="0" layoutInCell="0" allowOverlap="1">
                <wp:simplePos x="0" y="0"/>
                <wp:positionH relativeFrom="column">
                  <wp:posOffset>4686300</wp:posOffset>
                </wp:positionH>
                <wp:positionV relativeFrom="paragraph">
                  <wp:posOffset>0</wp:posOffset>
                </wp:positionV>
                <wp:extent cx="685800" cy="10287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2E3A">
                            <w:pPr>
                              <w:rPr>
                                <w:rFonts w:hint="eastAsia"/>
                                <w:b/>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9pt;margin-top:0;width:54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" o:allowincell="f" filled="f" stroked="f">
                <v:textbox style="layout-flow:vertical-ideographic">
                  <w:txbxContent>
                    <w:p w:rsidR="00000000" w:rsidRDefault="008A2E3A">
                      <w:pPr>
                        <w:rPr>
                          <w:rFonts w:hint="eastAsia"/>
                          <w:b/>
                        </w:rPr>
                      </w:pPr>
                    </w:p>
                  </w:txbxContent>
                </v:textbox>
              </v:shape>
            </w:pict>
          </mc:Fallback>
        </mc:AlternateContent>
      </w:r>
    </w:p>
    <w:p w:rsidR="00000000" w:rsidRDefault="008A2E3A">
      <w:pPr>
        <w:numPr>
          <w:ilvl w:val="0"/>
          <w:numId w:val="7"/>
        </w:numPr>
        <w:spacing w:line="440" w:lineRule="exact"/>
        <w:rPr>
          <w:rFonts w:ascii="細明體" w:eastAsia="細明體" w:hAnsi="細明體" w:hint="eastAsia"/>
          <w:b/>
          <w:sz w:val="32"/>
        </w:rPr>
      </w:pPr>
      <w:r>
        <w:rPr>
          <w:rFonts w:ascii="細明體" w:eastAsia="細明體" w:hAnsi="細明體" w:hint="eastAsia"/>
          <w:b/>
          <w:sz w:val="32"/>
        </w:rPr>
        <w:t>總則</w:t>
      </w:r>
    </w:p>
    <w:p w:rsidR="00000000" w:rsidRDefault="008A2E3A">
      <w:pPr>
        <w:spacing w:line="440" w:lineRule="exact"/>
        <w:rPr>
          <w:rFonts w:ascii="細明體" w:eastAsia="細明體" w:hAnsi="細明體" w:hint="eastAsia"/>
          <w:sz w:val="28"/>
        </w:rPr>
      </w:pPr>
    </w:p>
    <w:p w:rsidR="00000000" w:rsidRDefault="008A2E3A">
      <w:pPr>
        <w:spacing w:line="440" w:lineRule="exact"/>
        <w:rPr>
          <w:rFonts w:ascii="細明體" w:eastAsia="細明體" w:hAnsi="細明體" w:hint="eastAsia"/>
          <w:sz w:val="28"/>
        </w:rPr>
      </w:pPr>
      <w:r>
        <w:rPr>
          <w:rFonts w:ascii="細明體" w:eastAsia="細明體" w:hAnsi="細明體" w:hint="eastAsia"/>
          <w:sz w:val="28"/>
        </w:rPr>
        <w:t>第一條（規範目的）</w:t>
      </w:r>
    </w:p>
    <w:p w:rsidR="00000000" w:rsidRDefault="008A2E3A">
      <w:pPr>
        <w:spacing w:line="440" w:lineRule="exact"/>
        <w:ind w:firstLine="1120"/>
        <w:rPr>
          <w:rFonts w:ascii="細明體" w:eastAsia="細明體" w:hAnsi="細明體" w:hint="eastAsia"/>
          <w:sz w:val="28"/>
        </w:rPr>
      </w:pPr>
      <w:r>
        <w:rPr>
          <w:rFonts w:ascii="細明體" w:eastAsia="細明體" w:hAnsi="細明體" w:hint="eastAsia"/>
          <w:sz w:val="28"/>
        </w:rPr>
        <w:t>為充分發揮台灣學術網路（</w:t>
      </w:r>
      <w:r>
        <w:rPr>
          <w:rFonts w:ascii="細明體" w:eastAsia="細明體" w:hAnsi="細明體" w:hint="eastAsia"/>
          <w:sz w:val="28"/>
        </w:rPr>
        <w:t>TANet</w:t>
      </w:r>
      <w:r>
        <w:rPr>
          <w:rFonts w:ascii="細明體" w:eastAsia="細明體" w:hAnsi="細明體" w:hint="eastAsia"/>
          <w:sz w:val="28"/>
        </w:rPr>
        <w:t>）「以下簡稱網路」管理</w:t>
      </w:r>
    </w:p>
    <w:p w:rsidR="00000000" w:rsidRDefault="008A2E3A">
      <w:pPr>
        <w:spacing w:line="440" w:lineRule="exact"/>
        <w:ind w:firstLine="1120"/>
        <w:rPr>
          <w:rFonts w:ascii="細明體" w:eastAsia="細明體" w:hAnsi="細明體" w:hint="eastAsia"/>
          <w:sz w:val="28"/>
        </w:rPr>
      </w:pPr>
      <w:r>
        <w:rPr>
          <w:rFonts w:ascii="細明體" w:eastAsia="細明體" w:hAnsi="細明體" w:hint="eastAsia"/>
          <w:sz w:val="28"/>
        </w:rPr>
        <w:t>功能及整合相關網路資源，以促進網路正當使用，發揮網路</w:t>
      </w:r>
    </w:p>
    <w:p w:rsidR="00000000" w:rsidRDefault="008A2E3A">
      <w:pPr>
        <w:spacing w:line="440" w:lineRule="exact"/>
        <w:ind w:left="1121"/>
        <w:rPr>
          <w:rFonts w:ascii="細明體" w:eastAsia="細明體" w:hAnsi="細明體" w:hint="eastAsia"/>
          <w:sz w:val="28"/>
        </w:rPr>
      </w:pPr>
      <w:r>
        <w:rPr>
          <w:rFonts w:ascii="細明體" w:eastAsia="細明體" w:hAnsi="細明體" w:hint="eastAsia"/>
          <w:sz w:val="28"/>
        </w:rPr>
        <w:t>效益和提升教育及學習，並使網路管理者與使用者有所依循，特制定本規範。</w:t>
      </w:r>
    </w:p>
    <w:p w:rsidR="00000000" w:rsidRDefault="008A2E3A">
      <w:pPr>
        <w:spacing w:line="440" w:lineRule="exact"/>
        <w:rPr>
          <w:rFonts w:ascii="細明體" w:eastAsia="細明體" w:hAnsi="細明體" w:hint="eastAsia"/>
          <w:sz w:val="28"/>
        </w:rPr>
      </w:pPr>
      <w:r>
        <w:rPr>
          <w:rFonts w:ascii="細明體" w:eastAsia="細明體" w:hAnsi="細明體" w:hint="eastAsia"/>
          <w:sz w:val="28"/>
        </w:rPr>
        <w:t>第二條（適用對象）</w:t>
      </w:r>
    </w:p>
    <w:p w:rsidR="00000000" w:rsidRDefault="008A2E3A">
      <w:pPr>
        <w:spacing w:line="440" w:lineRule="exact"/>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本規範適用對象為利用網路從事本規範目的之人員。</w:t>
      </w:r>
    </w:p>
    <w:p w:rsidR="00000000" w:rsidRDefault="008A2E3A">
      <w:pPr>
        <w:spacing w:line="440" w:lineRule="exact"/>
        <w:rPr>
          <w:rFonts w:ascii="細明體" w:eastAsia="細明體" w:hAnsi="細明體" w:hint="eastAsia"/>
          <w:sz w:val="28"/>
        </w:rPr>
      </w:pPr>
      <w:r>
        <w:rPr>
          <w:rFonts w:ascii="細明體" w:eastAsia="細明體" w:hAnsi="細明體" w:hint="eastAsia"/>
          <w:sz w:val="28"/>
        </w:rPr>
        <w:t>第三條（主管機關）</w:t>
      </w:r>
    </w:p>
    <w:p w:rsidR="00000000" w:rsidRDefault="008A2E3A">
      <w:pPr>
        <w:spacing w:line="440" w:lineRule="exact"/>
        <w:ind w:left="1120" w:hanging="1120"/>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本規範主管機關為教育部。</w:t>
      </w:r>
    </w:p>
    <w:p w:rsidR="00000000" w:rsidRDefault="008A2E3A">
      <w:pPr>
        <w:spacing w:line="440" w:lineRule="exact"/>
        <w:ind w:left="1120" w:hanging="1120"/>
        <w:rPr>
          <w:rFonts w:ascii="細明體" w:eastAsia="細明體" w:hAnsi="細明體" w:hint="eastAsia"/>
          <w:sz w:val="28"/>
        </w:rPr>
      </w:pPr>
    </w:p>
    <w:p w:rsidR="00000000" w:rsidRDefault="008A2E3A">
      <w:pPr>
        <w:spacing w:line="440" w:lineRule="exact"/>
        <w:rPr>
          <w:rFonts w:ascii="細明體" w:eastAsia="細明體" w:hAnsi="細明體" w:hint="eastAsia"/>
          <w:b/>
          <w:sz w:val="32"/>
        </w:rPr>
      </w:pPr>
      <w:r>
        <w:rPr>
          <w:rFonts w:ascii="細明體" w:eastAsia="細明體" w:hAnsi="細明體" w:hint="eastAsia"/>
          <w:b/>
          <w:sz w:val="32"/>
        </w:rPr>
        <w:t>第二章</w:t>
      </w:r>
      <w:r>
        <w:rPr>
          <w:rFonts w:ascii="細明體" w:eastAsia="細明體" w:hAnsi="細明體" w:hint="eastAsia"/>
          <w:b/>
          <w:sz w:val="32"/>
        </w:rPr>
        <w:t xml:space="preserve">  </w:t>
      </w:r>
      <w:r>
        <w:rPr>
          <w:rFonts w:ascii="細明體" w:eastAsia="細明體" w:hAnsi="細明體" w:hint="eastAsia"/>
          <w:b/>
          <w:sz w:val="32"/>
        </w:rPr>
        <w:t>網路使用</w:t>
      </w:r>
    </w:p>
    <w:p w:rsidR="00000000" w:rsidRDefault="008A2E3A">
      <w:pPr>
        <w:spacing w:line="440" w:lineRule="exact"/>
        <w:rPr>
          <w:rFonts w:ascii="細明體" w:eastAsia="細明體" w:hAnsi="細明體" w:hint="eastAsia"/>
          <w:sz w:val="28"/>
        </w:rPr>
      </w:pPr>
    </w:p>
    <w:p w:rsidR="00000000" w:rsidRDefault="008A2E3A">
      <w:pPr>
        <w:spacing w:line="440" w:lineRule="exact"/>
        <w:rPr>
          <w:rFonts w:ascii="細明體" w:eastAsia="細明體" w:hAnsi="細明體" w:hint="eastAsia"/>
          <w:sz w:val="28"/>
        </w:rPr>
      </w:pPr>
      <w:r>
        <w:rPr>
          <w:rFonts w:ascii="細明體" w:eastAsia="細明體" w:hAnsi="細明體" w:hint="eastAsia"/>
          <w:sz w:val="28"/>
        </w:rPr>
        <w:t>第四條</w:t>
      </w:r>
      <w:r>
        <w:rPr>
          <w:rFonts w:ascii="細明體" w:eastAsia="細明體" w:hAnsi="細明體" w:hint="eastAsia"/>
          <w:sz w:val="28"/>
        </w:rPr>
        <w:t xml:space="preserve"> </w:t>
      </w:r>
      <w:r>
        <w:rPr>
          <w:rFonts w:ascii="細明體" w:eastAsia="細明體" w:hAnsi="細明體" w:hint="eastAsia"/>
          <w:sz w:val="28"/>
        </w:rPr>
        <w:t>（鼓勵行為）</w:t>
      </w:r>
    </w:p>
    <w:p w:rsidR="00000000" w:rsidRDefault="008A2E3A">
      <w:pPr>
        <w:spacing w:line="440" w:lineRule="exact"/>
        <w:ind w:left="1079" w:hanging="1081"/>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網路管理、使用等單位，管理者和使用者，應致力於維護網</w:t>
      </w:r>
      <w:r>
        <w:rPr>
          <w:rFonts w:ascii="細明體" w:eastAsia="細明體" w:hAnsi="細明體" w:hint="eastAsia"/>
          <w:sz w:val="28"/>
        </w:rPr>
        <w:t>路安全，共享網路資源，以發揮網路效能，臻於本規範目的。</w:t>
      </w:r>
    </w:p>
    <w:p w:rsidR="00000000" w:rsidRDefault="008A2E3A">
      <w:pPr>
        <w:spacing w:line="440" w:lineRule="exact"/>
        <w:ind w:left="1400" w:hanging="1400"/>
        <w:rPr>
          <w:rFonts w:ascii="細明體" w:eastAsia="細明體" w:hAnsi="細明體" w:hint="eastAsia"/>
          <w:sz w:val="28"/>
        </w:rPr>
      </w:pPr>
      <w:r>
        <w:rPr>
          <w:rFonts w:ascii="細明體" w:eastAsia="細明體" w:hAnsi="細明體" w:hint="eastAsia"/>
          <w:sz w:val="28"/>
        </w:rPr>
        <w:t>第五條（不當資訊與使用）</w:t>
      </w:r>
    </w:p>
    <w:p w:rsidR="00000000" w:rsidRDefault="008A2E3A">
      <w:pPr>
        <w:spacing w:line="440" w:lineRule="exact"/>
        <w:ind w:left="1078" w:hanging="1078"/>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網路使用者不得張貼或傳送具威脅性、猥褻性、不友善或其他不當資訊與不當使用。</w:t>
      </w:r>
    </w:p>
    <w:p w:rsidR="00000000" w:rsidRDefault="008A2E3A">
      <w:pPr>
        <w:spacing w:line="440" w:lineRule="exact"/>
        <w:ind w:left="1401" w:hanging="280"/>
        <w:rPr>
          <w:rFonts w:ascii="細明體" w:eastAsia="細明體" w:hAnsi="細明體" w:hint="eastAsia"/>
          <w:sz w:val="28"/>
        </w:rPr>
      </w:pPr>
      <w:r>
        <w:rPr>
          <w:rFonts w:ascii="細明體" w:eastAsia="細明體" w:hAnsi="細明體" w:hint="eastAsia"/>
          <w:sz w:val="28"/>
        </w:rPr>
        <w:t>前項</w:t>
      </w:r>
      <w:r>
        <w:rPr>
          <w:rFonts w:ascii="細明體" w:eastAsia="細明體" w:hAnsi="細明體" w:hint="eastAsia"/>
          <w:b/>
          <w:color w:val="FF00FF"/>
          <w:sz w:val="28"/>
        </w:rPr>
        <w:t>不當資訊與不當使用之認定與審議要點另訂</w:t>
      </w:r>
      <w:r>
        <w:rPr>
          <w:rFonts w:ascii="細明體" w:eastAsia="細明體" w:hAnsi="細明體" w:hint="eastAsia"/>
          <w:sz w:val="28"/>
        </w:rPr>
        <w:t>之。</w:t>
      </w:r>
    </w:p>
    <w:p w:rsidR="00000000" w:rsidRDefault="008A2E3A">
      <w:pPr>
        <w:spacing w:line="440" w:lineRule="exact"/>
        <w:ind w:left="1400" w:hanging="1400"/>
        <w:rPr>
          <w:rFonts w:ascii="細明體" w:eastAsia="細明體" w:hAnsi="細明體" w:hint="eastAsia"/>
          <w:sz w:val="28"/>
        </w:rPr>
      </w:pPr>
      <w:r>
        <w:rPr>
          <w:rFonts w:ascii="細明體" w:eastAsia="細明體" w:hAnsi="細明體" w:hint="eastAsia"/>
          <w:sz w:val="28"/>
        </w:rPr>
        <w:t>第六條（資訊使用限制）</w:t>
      </w:r>
    </w:p>
    <w:p w:rsidR="00000000" w:rsidRDefault="008A2E3A">
      <w:pPr>
        <w:spacing w:line="440" w:lineRule="exact"/>
        <w:ind w:left="1121"/>
        <w:rPr>
          <w:rFonts w:ascii="細明體" w:eastAsia="細明體" w:hAnsi="細明體" w:hint="eastAsia"/>
          <w:sz w:val="28"/>
        </w:rPr>
      </w:pPr>
      <w:r>
        <w:rPr>
          <w:rFonts w:ascii="細明體" w:eastAsia="細明體" w:hAnsi="細明體" w:hint="eastAsia"/>
          <w:sz w:val="28"/>
        </w:rPr>
        <w:t>網路使用者在非合理使用下不得使用未經合法授權或登記的相關資訊，在網路上流通、散布、利用、重製或交易販賣。</w:t>
      </w:r>
    </w:p>
    <w:p w:rsidR="00000000" w:rsidRDefault="008A2E3A">
      <w:pPr>
        <w:spacing w:line="440" w:lineRule="exact"/>
        <w:ind w:left="1400" w:hanging="1400"/>
        <w:rPr>
          <w:rFonts w:ascii="細明體" w:eastAsia="細明體" w:hAnsi="細明體" w:hint="eastAsia"/>
          <w:sz w:val="28"/>
        </w:rPr>
      </w:pPr>
      <w:r>
        <w:rPr>
          <w:rFonts w:ascii="細明體" w:eastAsia="細明體" w:hAnsi="細明體" w:hint="eastAsia"/>
          <w:sz w:val="28"/>
        </w:rPr>
        <w:t>第七條（禁止行為）</w:t>
      </w:r>
    </w:p>
    <w:p w:rsidR="00000000" w:rsidRDefault="008A2E3A">
      <w:pPr>
        <w:snapToGrid w:val="0"/>
        <w:spacing w:line="440" w:lineRule="exact"/>
        <w:ind w:firstLine="1120"/>
        <w:jc w:val="both"/>
        <w:rPr>
          <w:rFonts w:ascii="細明體" w:eastAsia="細明體" w:hAnsi="細明體" w:hint="eastAsia"/>
          <w:sz w:val="28"/>
        </w:rPr>
      </w:pPr>
      <w:r>
        <w:rPr>
          <w:rFonts w:ascii="細明體" w:eastAsia="細明體" w:hAnsi="細明體" w:hint="eastAsia"/>
          <w:sz w:val="28"/>
        </w:rPr>
        <w:t>網路使用者不得為下列行為：</w:t>
      </w:r>
    </w:p>
    <w:p w:rsidR="00000000" w:rsidRDefault="008A2E3A">
      <w:pPr>
        <w:snapToGrid w:val="0"/>
        <w:spacing w:line="440" w:lineRule="exact"/>
        <w:ind w:left="1619" w:hanging="498"/>
        <w:jc w:val="both"/>
        <w:rPr>
          <w:rFonts w:ascii="細明體" w:eastAsia="細明體" w:hAnsi="細明體"/>
          <w:sz w:val="28"/>
        </w:rPr>
      </w:pPr>
      <w:r>
        <w:rPr>
          <w:rFonts w:ascii="細明體" w:eastAsia="細明體" w:hAnsi="細明體" w:hint="eastAsia"/>
          <w:sz w:val="28"/>
        </w:rPr>
        <w:t>一、</w:t>
      </w:r>
      <w:r>
        <w:rPr>
          <w:rFonts w:ascii="細明體" w:eastAsia="細明體" w:hAnsi="細明體"/>
          <w:color w:val="FF00FF"/>
          <w:sz w:val="28"/>
          <w:u w:val="single"/>
        </w:rPr>
        <w:t>無故</w:t>
      </w:r>
      <w:r>
        <w:rPr>
          <w:rFonts w:ascii="細明體" w:eastAsia="細明體" w:hAnsi="細明體"/>
          <w:sz w:val="28"/>
        </w:rPr>
        <w:t>輸入他人帳號密碼、破解使用電腦之保護措施或利用電腦系統之漏洞，</w:t>
      </w:r>
      <w:r>
        <w:rPr>
          <w:rFonts w:ascii="細明體" w:eastAsia="細明體" w:hAnsi="細明體" w:hint="eastAsia"/>
          <w:sz w:val="28"/>
        </w:rPr>
        <w:t>入侵他人或公眾電腦系統。</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二、散布電腦病毒</w:t>
      </w:r>
      <w:r>
        <w:rPr>
          <w:rFonts w:ascii="細明體" w:eastAsia="細明體" w:hAnsi="細明體" w:hint="eastAsia"/>
          <w:sz w:val="28"/>
        </w:rPr>
        <w:t>或其他</w:t>
      </w:r>
      <w:r>
        <w:rPr>
          <w:rFonts w:ascii="細明體" w:eastAsia="細明體" w:hAnsi="細明體"/>
          <w:sz w:val="28"/>
        </w:rPr>
        <w:t>電磁方式干擾</w:t>
      </w:r>
      <w:r>
        <w:rPr>
          <w:rFonts w:ascii="細明體" w:eastAsia="細明體" w:hAnsi="細明體" w:hint="eastAsia"/>
          <w:sz w:val="28"/>
        </w:rPr>
        <w:t>或破壞網路系統。</w:t>
      </w:r>
    </w:p>
    <w:p w:rsidR="00000000" w:rsidRDefault="008A2E3A">
      <w:pPr>
        <w:snapToGrid w:val="0"/>
        <w:spacing w:line="440" w:lineRule="exact"/>
        <w:ind w:left="1121"/>
        <w:jc w:val="both"/>
        <w:rPr>
          <w:rFonts w:ascii="細明體" w:eastAsia="細明體" w:hAnsi="細明體" w:hint="eastAsia"/>
          <w:sz w:val="28"/>
        </w:rPr>
      </w:pPr>
      <w:r>
        <w:rPr>
          <w:rFonts w:ascii="細明體" w:eastAsia="細明體" w:hAnsi="細明體" w:hint="eastAsia"/>
          <w:sz w:val="28"/>
        </w:rPr>
        <w:t>三、</w:t>
      </w:r>
      <w:r>
        <w:rPr>
          <w:rFonts w:ascii="細明體" w:eastAsia="細明體" w:hAnsi="細明體"/>
          <w:sz w:val="28"/>
        </w:rPr>
        <w:t>製作專供</w:t>
      </w:r>
      <w:r>
        <w:rPr>
          <w:rFonts w:ascii="細明體" w:eastAsia="細明體" w:hAnsi="細明體" w:hint="eastAsia"/>
          <w:sz w:val="28"/>
        </w:rPr>
        <w:t>違反本規範目的之</w:t>
      </w:r>
      <w:r>
        <w:rPr>
          <w:rFonts w:ascii="細明體" w:eastAsia="細明體" w:hAnsi="細明體"/>
          <w:sz w:val="28"/>
        </w:rPr>
        <w:t>電腦程式。</w:t>
      </w:r>
    </w:p>
    <w:p w:rsidR="00000000" w:rsidRDefault="008A2E3A">
      <w:pPr>
        <w:snapToGrid w:val="0"/>
        <w:spacing w:line="440" w:lineRule="exact"/>
        <w:ind w:firstLine="1120"/>
        <w:jc w:val="both"/>
        <w:rPr>
          <w:rFonts w:ascii="細明體" w:eastAsia="細明體" w:hAnsi="細明體"/>
          <w:sz w:val="28"/>
        </w:rPr>
      </w:pPr>
      <w:r>
        <w:rPr>
          <w:rFonts w:ascii="細明體" w:eastAsia="細明體" w:hAnsi="細明體" w:hint="eastAsia"/>
          <w:sz w:val="28"/>
        </w:rPr>
        <w:lastRenderedPageBreak/>
        <w:t>四、</w:t>
      </w:r>
      <w:r>
        <w:rPr>
          <w:rFonts w:ascii="細明體" w:eastAsia="細明體" w:hAnsi="細明體" w:hint="eastAsia"/>
          <w:color w:val="FF00FF"/>
          <w:sz w:val="28"/>
          <w:u w:val="single"/>
        </w:rPr>
        <w:t>無故</w:t>
      </w:r>
      <w:r>
        <w:rPr>
          <w:rFonts w:ascii="細明體" w:eastAsia="細明體" w:hAnsi="細明體" w:hint="eastAsia"/>
          <w:sz w:val="28"/>
        </w:rPr>
        <w:t>截取網路傳輸訊息。</w:t>
      </w:r>
    </w:p>
    <w:p w:rsidR="00000000" w:rsidRDefault="008A2E3A">
      <w:pPr>
        <w:pStyle w:val="a4"/>
        <w:tabs>
          <w:tab w:val="clear" w:pos="1080"/>
          <w:tab w:val="clear" w:pos="1260"/>
          <w:tab w:val="clear" w:pos="1440"/>
          <w:tab w:val="clear" w:pos="1620"/>
        </w:tabs>
        <w:rPr>
          <w:rFonts w:ascii="細明體" w:eastAsia="細明體" w:hAnsi="細明體"/>
        </w:rPr>
      </w:pPr>
      <w:r>
        <w:rPr>
          <w:rFonts w:ascii="細明體" w:eastAsia="細明體" w:hAnsi="細明體" w:hint="eastAsia"/>
        </w:rPr>
        <w:t>五、以破解、盜用或冒用他人帳號及密碼等方式，未經授權使用網路資源。</w:t>
      </w:r>
    </w:p>
    <w:p w:rsidR="00000000" w:rsidRDefault="008A2E3A">
      <w:pPr>
        <w:snapToGrid w:val="0"/>
        <w:spacing w:line="440" w:lineRule="exact"/>
        <w:ind w:firstLine="1120"/>
        <w:jc w:val="both"/>
        <w:rPr>
          <w:rFonts w:ascii="細明體" w:eastAsia="細明體" w:hAnsi="細明體"/>
          <w:sz w:val="28"/>
        </w:rPr>
      </w:pPr>
      <w:r>
        <w:rPr>
          <w:rFonts w:ascii="細明體" w:eastAsia="細明體" w:hAnsi="細明體" w:hint="eastAsia"/>
          <w:sz w:val="28"/>
        </w:rPr>
        <w:t>六、將帳號或密碼供他人使用。</w:t>
      </w:r>
    </w:p>
    <w:p w:rsidR="00000000" w:rsidRDefault="008A2E3A">
      <w:pPr>
        <w:snapToGrid w:val="0"/>
        <w:spacing w:line="440" w:lineRule="exact"/>
        <w:ind w:left="1681" w:hanging="560"/>
        <w:jc w:val="both"/>
        <w:rPr>
          <w:rFonts w:ascii="細明體" w:eastAsia="細明體" w:hAnsi="細明體"/>
          <w:sz w:val="28"/>
        </w:rPr>
      </w:pPr>
      <w:r>
        <w:rPr>
          <w:rFonts w:ascii="細明體" w:eastAsia="細明體" w:hAnsi="細明體" w:hint="eastAsia"/>
          <w:sz w:val="28"/>
        </w:rPr>
        <w:t>七、</w:t>
      </w:r>
      <w:r>
        <w:rPr>
          <w:rFonts w:ascii="細明體" w:eastAsia="細明體" w:hAnsi="細明體" w:hint="eastAsia"/>
          <w:color w:val="FF00FF"/>
          <w:sz w:val="28"/>
          <w:u w:val="single"/>
        </w:rPr>
        <w:t>無故</w:t>
      </w:r>
      <w:r>
        <w:rPr>
          <w:rFonts w:ascii="細明體" w:eastAsia="細明體" w:hAnsi="細明體" w:hint="eastAsia"/>
          <w:sz w:val="28"/>
        </w:rPr>
        <w:t>洩漏、隱藏帳號或使用虛假帳號。</w:t>
      </w:r>
    </w:p>
    <w:p w:rsidR="00000000" w:rsidRDefault="008A2E3A">
      <w:pPr>
        <w:snapToGrid w:val="0"/>
        <w:spacing w:line="440" w:lineRule="exact"/>
        <w:ind w:firstLine="1120"/>
        <w:jc w:val="both"/>
        <w:rPr>
          <w:rFonts w:ascii="細明體" w:eastAsia="細明體" w:hAnsi="細明體"/>
          <w:sz w:val="28"/>
        </w:rPr>
      </w:pPr>
      <w:r>
        <w:rPr>
          <w:rFonts w:ascii="細明體" w:eastAsia="細明體" w:hAnsi="細明體" w:hint="eastAsia"/>
          <w:sz w:val="28"/>
        </w:rPr>
        <w:t>八、</w:t>
      </w:r>
      <w:r>
        <w:rPr>
          <w:rFonts w:ascii="細明體" w:eastAsia="細明體" w:hAnsi="細明體" w:hint="eastAsia"/>
          <w:color w:val="FF00FF"/>
          <w:sz w:val="28"/>
          <w:u w:val="single"/>
        </w:rPr>
        <w:t>無故</w:t>
      </w:r>
      <w:r>
        <w:rPr>
          <w:rFonts w:ascii="細明體" w:eastAsia="細明體" w:hAnsi="細明體" w:hint="eastAsia"/>
          <w:sz w:val="28"/>
        </w:rPr>
        <w:t>窺視他人之電子郵件或檔案。</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九、以任何方式濫用網路資源，包括張貼非學術性廣告，以電子郵件大量傳送廣告信、連鎖信或無用之信息，或以灌爆信箱、掠奪資源等方式，影響系統之正常運作。</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十、破壞或竊盜網路或其相關軟硬體設備。</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十一、竊取或毀損供網路用重要或機密文件。</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十二</w:t>
      </w:r>
      <w:r>
        <w:rPr>
          <w:rFonts w:ascii="細明體" w:eastAsia="細明體" w:hAnsi="細明體" w:hint="eastAsia"/>
          <w:sz w:val="28"/>
        </w:rPr>
        <w:t>、以電子郵件、線上談話、電子佈告欄或類似功能之方法散布詐欺、誹謗、侮辱、猥褻、騷擾、性交易等訊息。</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十三、</w:t>
      </w:r>
      <w:r>
        <w:rPr>
          <w:rFonts w:ascii="細明體" w:eastAsia="細明體" w:hAnsi="細明體" w:hint="eastAsia"/>
          <w:color w:val="FF00FF"/>
          <w:sz w:val="28"/>
          <w:u w:val="single"/>
        </w:rPr>
        <w:t>無故</w:t>
      </w:r>
      <w:r>
        <w:rPr>
          <w:rFonts w:ascii="細明體" w:eastAsia="細明體" w:hAnsi="細明體" w:hint="eastAsia"/>
          <w:sz w:val="28"/>
        </w:rPr>
        <w:t>妨害他人使用網路。</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十四、未經授權私接網路。</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十五、利用網路誘惑，傳授、解惑與違反本規範、犯罪有關之訊息。</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十六、利用網路非法組織不良幫派或社群。</w:t>
      </w:r>
    </w:p>
    <w:p w:rsidR="00000000" w:rsidRDefault="008A2E3A">
      <w:pPr>
        <w:snapToGrid w:val="0"/>
        <w:spacing w:line="440" w:lineRule="exact"/>
        <w:ind w:left="1619" w:hanging="498"/>
        <w:jc w:val="both"/>
        <w:rPr>
          <w:rFonts w:ascii="細明體" w:eastAsia="細明體" w:hAnsi="細明體" w:hint="eastAsia"/>
          <w:sz w:val="28"/>
        </w:rPr>
      </w:pPr>
      <w:r>
        <w:rPr>
          <w:rFonts w:ascii="細明體" w:eastAsia="細明體" w:hAnsi="細明體" w:hint="eastAsia"/>
          <w:sz w:val="28"/>
        </w:rPr>
        <w:t>十七、利用網路發表有關違反社會善良風俗、族群對立，種族或性別歧視，反社會價值或反社會規範等不當言論。</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十八、利用網路資源從事非教學研究、商業等活動。</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十九、利用網路從事違法行為。</w:t>
      </w:r>
    </w:p>
    <w:p w:rsidR="00000000" w:rsidRDefault="008A2E3A">
      <w:pPr>
        <w:snapToGrid w:val="0"/>
        <w:spacing w:line="440" w:lineRule="exact"/>
        <w:ind w:left="1078" w:firstLine="39"/>
        <w:jc w:val="both"/>
        <w:rPr>
          <w:rFonts w:ascii="細明體" w:eastAsia="細明體" w:hAnsi="細明體" w:hint="eastAsia"/>
          <w:sz w:val="28"/>
        </w:rPr>
      </w:pPr>
      <w:r>
        <w:rPr>
          <w:rFonts w:ascii="細明體" w:eastAsia="細明體" w:hAnsi="細明體" w:hint="eastAsia"/>
          <w:sz w:val="28"/>
        </w:rPr>
        <w:t>前項第十二款有關</w:t>
      </w:r>
      <w:r>
        <w:rPr>
          <w:rFonts w:ascii="細明體" w:eastAsia="細明體" w:hAnsi="細明體" w:hint="eastAsia"/>
          <w:b/>
          <w:color w:val="FF00FF"/>
          <w:sz w:val="28"/>
        </w:rPr>
        <w:t>電子郵件及電子佈告欄等管理規定另訂</w:t>
      </w:r>
      <w:r>
        <w:rPr>
          <w:rFonts w:ascii="細明體" w:eastAsia="細明體" w:hAnsi="細明體" w:hint="eastAsia"/>
          <w:sz w:val="28"/>
        </w:rPr>
        <w:t>之。</w:t>
      </w:r>
    </w:p>
    <w:p w:rsidR="00000000" w:rsidRDefault="008A2E3A">
      <w:pPr>
        <w:spacing w:line="440" w:lineRule="exact"/>
        <w:ind w:left="1121"/>
        <w:rPr>
          <w:rFonts w:ascii="細明體" w:eastAsia="細明體" w:hAnsi="細明體" w:hint="eastAsia"/>
          <w:sz w:val="28"/>
        </w:rPr>
      </w:pPr>
    </w:p>
    <w:p w:rsidR="00000000" w:rsidRDefault="008A2E3A">
      <w:pPr>
        <w:spacing w:line="440" w:lineRule="exact"/>
        <w:rPr>
          <w:rFonts w:hint="eastAsia"/>
          <w:b/>
          <w:sz w:val="32"/>
        </w:rPr>
      </w:pPr>
      <w:r>
        <w:rPr>
          <w:rFonts w:ascii="細明體" w:eastAsia="細明體" w:hAnsi="細明體" w:hint="eastAsia"/>
          <w:b/>
          <w:sz w:val="32"/>
        </w:rPr>
        <w:t>第三章</w:t>
      </w:r>
      <w:r>
        <w:rPr>
          <w:rFonts w:hint="eastAsia"/>
          <w:b/>
          <w:sz w:val="32"/>
        </w:rPr>
        <w:t xml:space="preserve">   </w:t>
      </w:r>
      <w:r>
        <w:rPr>
          <w:rFonts w:hint="eastAsia"/>
          <w:b/>
          <w:sz w:val="32"/>
        </w:rPr>
        <w:t>網路</w:t>
      </w:r>
      <w:r>
        <w:rPr>
          <w:rFonts w:hint="eastAsia"/>
          <w:b/>
          <w:sz w:val="32"/>
        </w:rPr>
        <w:t>管理</w:t>
      </w:r>
    </w:p>
    <w:p w:rsidR="00000000" w:rsidRDefault="008A2E3A">
      <w:pPr>
        <w:spacing w:line="440" w:lineRule="exact"/>
        <w:rPr>
          <w:rFonts w:ascii="細明體" w:eastAsia="細明體" w:hAnsi="細明體" w:hint="eastAsia"/>
          <w:sz w:val="28"/>
        </w:rPr>
      </w:pPr>
    </w:p>
    <w:p w:rsidR="00000000" w:rsidRDefault="008A2E3A">
      <w:pPr>
        <w:spacing w:line="440" w:lineRule="exact"/>
        <w:rPr>
          <w:rFonts w:ascii="細明體" w:eastAsia="細明體" w:hAnsi="細明體" w:hint="eastAsia"/>
          <w:sz w:val="28"/>
        </w:rPr>
      </w:pPr>
      <w:r>
        <w:rPr>
          <w:rFonts w:ascii="細明體" w:eastAsia="細明體" w:hAnsi="細明體" w:hint="eastAsia"/>
          <w:sz w:val="28"/>
        </w:rPr>
        <w:t>第八條（訂定網路使用規範）</w:t>
      </w:r>
    </w:p>
    <w:p w:rsidR="00000000" w:rsidRDefault="008A2E3A">
      <w:pPr>
        <w:snapToGrid w:val="0"/>
        <w:spacing w:line="440" w:lineRule="exact"/>
        <w:ind w:left="1680" w:hanging="1680"/>
        <w:jc w:val="both"/>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各級學校及學術研究機構得依本規範訂定網路使用規範。</w:t>
      </w:r>
    </w:p>
    <w:p w:rsidR="00000000" w:rsidRDefault="008A2E3A">
      <w:pPr>
        <w:snapToGrid w:val="0"/>
        <w:spacing w:line="440" w:lineRule="exact"/>
        <w:jc w:val="both"/>
        <w:rPr>
          <w:rFonts w:ascii="細明體" w:eastAsia="細明體" w:hAnsi="細明體" w:hint="eastAsia"/>
          <w:sz w:val="28"/>
        </w:rPr>
      </w:pPr>
      <w:r>
        <w:rPr>
          <w:rFonts w:ascii="細明體" w:eastAsia="細明體" w:hAnsi="細明體" w:hint="eastAsia"/>
          <w:sz w:val="28"/>
        </w:rPr>
        <w:t>第九條（網路管理委員會及管理層級）</w:t>
      </w:r>
    </w:p>
    <w:p w:rsidR="00000000" w:rsidRDefault="008A2E3A">
      <w:pPr>
        <w:spacing w:line="440" w:lineRule="exact"/>
        <w:ind w:left="3921" w:hanging="2800"/>
        <w:rPr>
          <w:rFonts w:ascii="細明體" w:eastAsia="細明體" w:hAnsi="細明體" w:hint="eastAsia"/>
          <w:sz w:val="28"/>
        </w:rPr>
      </w:pPr>
      <w:r>
        <w:rPr>
          <w:rFonts w:ascii="細明體" w:eastAsia="細明體" w:hAnsi="細明體" w:hint="eastAsia"/>
          <w:sz w:val="28"/>
        </w:rPr>
        <w:t>網路管理組織分成三個層級，依序如下：</w:t>
      </w:r>
    </w:p>
    <w:p w:rsidR="00000000" w:rsidRDefault="008A2E3A">
      <w:pPr>
        <w:spacing w:line="440" w:lineRule="exact"/>
        <w:ind w:left="3920" w:hanging="3920"/>
        <w:rPr>
          <w:rFonts w:ascii="細明體" w:eastAsia="細明體" w:hAnsi="細明體" w:hint="eastAsia"/>
          <w:sz w:val="28"/>
        </w:rPr>
      </w:pPr>
      <w:r>
        <w:rPr>
          <w:rFonts w:ascii="細明體" w:eastAsia="細明體" w:hAnsi="細明體" w:hint="eastAsia"/>
          <w:sz w:val="28"/>
        </w:rPr>
        <w:lastRenderedPageBreak/>
        <w:t xml:space="preserve">        </w:t>
      </w:r>
      <w:r>
        <w:rPr>
          <w:rFonts w:ascii="細明體" w:eastAsia="細明體" w:hAnsi="細明體" w:hint="eastAsia"/>
          <w:sz w:val="28"/>
        </w:rPr>
        <w:t>一、台灣學術網路管理委員會。</w:t>
      </w:r>
    </w:p>
    <w:p w:rsidR="00000000" w:rsidRDefault="008A2E3A">
      <w:pPr>
        <w:spacing w:line="440" w:lineRule="exact"/>
        <w:ind w:firstLine="1120"/>
        <w:rPr>
          <w:rFonts w:ascii="細明體" w:eastAsia="細明體" w:hAnsi="細明體" w:hint="eastAsia"/>
          <w:sz w:val="28"/>
        </w:rPr>
      </w:pPr>
      <w:r>
        <w:rPr>
          <w:rFonts w:ascii="細明體" w:eastAsia="細明體" w:hAnsi="細明體" w:hint="eastAsia"/>
          <w:sz w:val="28"/>
        </w:rPr>
        <w:t>二、區域網路中心及縣市教育網路中心網路管理委員會。</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三、各級學校及學術研究機構網路管理委員會。</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前項各級網路管理單位得視實際需要設置網路管理委員</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會，其</w:t>
      </w:r>
      <w:r>
        <w:rPr>
          <w:rFonts w:ascii="細明體" w:eastAsia="細明體" w:hAnsi="細明體" w:hint="eastAsia"/>
          <w:b/>
          <w:color w:val="FF00FF"/>
          <w:sz w:val="28"/>
        </w:rPr>
        <w:t>章程另訂</w:t>
      </w:r>
      <w:r>
        <w:rPr>
          <w:rFonts w:ascii="細明體" w:eastAsia="細明體" w:hAnsi="細明體" w:hint="eastAsia"/>
          <w:sz w:val="28"/>
        </w:rPr>
        <w:t>之。</w:t>
      </w:r>
    </w:p>
    <w:p w:rsidR="00000000" w:rsidRDefault="008A2E3A">
      <w:pPr>
        <w:spacing w:line="440" w:lineRule="exact"/>
        <w:ind w:left="3920" w:hanging="3920"/>
        <w:rPr>
          <w:rFonts w:ascii="細明體" w:eastAsia="細明體" w:hAnsi="細明體" w:hint="eastAsia"/>
          <w:sz w:val="28"/>
        </w:rPr>
      </w:pPr>
      <w:r>
        <w:rPr>
          <w:rFonts w:ascii="細明體" w:eastAsia="細明體" w:hAnsi="細明體" w:hint="eastAsia"/>
          <w:sz w:val="28"/>
        </w:rPr>
        <w:t>第十條（區域網路中心及縣市教育網路中心人員辦理事項）</w:t>
      </w:r>
    </w:p>
    <w:p w:rsidR="00000000" w:rsidRDefault="008A2E3A">
      <w:pPr>
        <w:snapToGrid w:val="0"/>
        <w:spacing w:line="440" w:lineRule="exact"/>
        <w:ind w:left="1078" w:firstLine="39"/>
        <w:jc w:val="both"/>
        <w:rPr>
          <w:rFonts w:ascii="細明體" w:eastAsia="細明體" w:hAnsi="細明體" w:hint="eastAsia"/>
          <w:sz w:val="28"/>
        </w:rPr>
      </w:pPr>
      <w:r>
        <w:rPr>
          <w:rFonts w:ascii="細明體" w:eastAsia="細明體" w:hAnsi="細明體" w:hint="eastAsia"/>
          <w:sz w:val="28"/>
        </w:rPr>
        <w:t>各區域網路中心及縣市教育網路中心人員協助辦理下列事項：</w:t>
      </w:r>
    </w:p>
    <w:p w:rsidR="00000000" w:rsidRDefault="008A2E3A">
      <w:pPr>
        <w:snapToGrid w:val="0"/>
        <w:spacing w:line="440" w:lineRule="exact"/>
        <w:ind w:firstLine="1120"/>
        <w:jc w:val="both"/>
        <w:rPr>
          <w:rFonts w:ascii="細明體" w:eastAsia="細明體" w:hAnsi="細明體"/>
          <w:sz w:val="28"/>
        </w:rPr>
      </w:pPr>
      <w:r>
        <w:rPr>
          <w:rFonts w:ascii="細明體" w:eastAsia="細明體" w:hAnsi="細明體" w:hint="eastAsia"/>
          <w:sz w:val="28"/>
        </w:rPr>
        <w:t>一、採取適當</w:t>
      </w:r>
      <w:r>
        <w:rPr>
          <w:rFonts w:ascii="細明體" w:eastAsia="細明體" w:hAnsi="細明體" w:hint="eastAsia"/>
          <w:sz w:val="28"/>
        </w:rPr>
        <w:t>之措施以維護網路安全。</w:t>
      </w:r>
    </w:p>
    <w:p w:rsidR="00000000" w:rsidRDefault="008A2E3A">
      <w:pPr>
        <w:snapToGrid w:val="0"/>
        <w:spacing w:line="440" w:lineRule="exact"/>
        <w:ind w:left="1681" w:hanging="560"/>
        <w:jc w:val="both"/>
        <w:rPr>
          <w:rFonts w:ascii="細明體" w:eastAsia="細明體" w:hAnsi="細明體" w:hint="eastAsia"/>
          <w:sz w:val="28"/>
        </w:rPr>
      </w:pPr>
      <w:r>
        <w:rPr>
          <w:rFonts w:ascii="細明體" w:eastAsia="細明體" w:hAnsi="細明體" w:hint="eastAsia"/>
          <w:sz w:val="28"/>
        </w:rPr>
        <w:t>二、宣導網路使用之相關規範，並引導網路使用者正當使用</w:t>
      </w:r>
    </w:p>
    <w:p w:rsidR="00000000" w:rsidRDefault="008A2E3A">
      <w:pPr>
        <w:snapToGrid w:val="0"/>
        <w:spacing w:line="440" w:lineRule="exact"/>
        <w:ind w:left="1682"/>
        <w:jc w:val="both"/>
        <w:rPr>
          <w:rFonts w:ascii="細明體" w:eastAsia="細明體" w:hAnsi="細明體" w:hint="eastAsia"/>
          <w:sz w:val="28"/>
        </w:rPr>
      </w:pPr>
      <w:r>
        <w:rPr>
          <w:rFonts w:ascii="細明體" w:eastAsia="細明體" w:hAnsi="細明體" w:hint="eastAsia"/>
          <w:sz w:val="28"/>
        </w:rPr>
        <w:t>資訊資源、重視網路相關法令及禮節。</w:t>
      </w:r>
    </w:p>
    <w:p w:rsidR="00000000" w:rsidRDefault="008A2E3A">
      <w:pPr>
        <w:snapToGrid w:val="0"/>
        <w:spacing w:line="440" w:lineRule="exact"/>
        <w:jc w:val="both"/>
        <w:rPr>
          <w:rFonts w:ascii="細明體" w:eastAsia="細明體" w:hAnsi="細明體"/>
          <w:sz w:val="28"/>
        </w:rPr>
      </w:pPr>
      <w:r>
        <w:rPr>
          <w:rFonts w:ascii="細明體" w:eastAsia="細明體" w:hAnsi="細明體" w:hint="eastAsia"/>
          <w:sz w:val="28"/>
        </w:rPr>
        <w:t xml:space="preserve">        </w:t>
      </w:r>
      <w:r>
        <w:rPr>
          <w:rFonts w:ascii="細明體" w:eastAsia="細明體" w:hAnsi="細明體" w:hint="eastAsia"/>
          <w:sz w:val="28"/>
        </w:rPr>
        <w:t>三、協助網路使用者建立自律機制。</w:t>
      </w:r>
    </w:p>
    <w:p w:rsidR="00000000" w:rsidRDefault="008A2E3A">
      <w:pPr>
        <w:snapToGrid w:val="0"/>
        <w:spacing w:line="440" w:lineRule="exact"/>
        <w:ind w:firstLine="1120"/>
        <w:jc w:val="both"/>
        <w:rPr>
          <w:rFonts w:ascii="細明體" w:eastAsia="細明體" w:hAnsi="細明體"/>
          <w:sz w:val="28"/>
        </w:rPr>
      </w:pPr>
      <w:r>
        <w:rPr>
          <w:rFonts w:ascii="細明體" w:eastAsia="細明體" w:hAnsi="細明體" w:hint="eastAsia"/>
          <w:sz w:val="28"/>
        </w:rPr>
        <w:t>四、對網路流量應為適當之區隔與管控。</w:t>
      </w:r>
    </w:p>
    <w:p w:rsidR="00000000" w:rsidRDefault="008A2E3A">
      <w:pPr>
        <w:pStyle w:val="a4"/>
        <w:rPr>
          <w:rFonts w:ascii="細明體" w:eastAsia="細明體" w:hAnsi="細明體" w:hint="eastAsia"/>
        </w:rPr>
      </w:pPr>
      <w:r>
        <w:rPr>
          <w:rFonts w:ascii="細明體" w:eastAsia="細明體" w:hAnsi="細明體" w:hint="eastAsia"/>
        </w:rPr>
        <w:t>五、電子佈告欄及其他網站負責管理、維護。</w:t>
      </w:r>
    </w:p>
    <w:p w:rsidR="00000000" w:rsidRDefault="008A2E3A">
      <w:pPr>
        <w:pStyle w:val="a4"/>
        <w:rPr>
          <w:rFonts w:ascii="細明體" w:eastAsia="細明體" w:hAnsi="細明體" w:hint="eastAsia"/>
        </w:rPr>
      </w:pPr>
      <w:r>
        <w:rPr>
          <w:rFonts w:ascii="細明體" w:eastAsia="細明體" w:hAnsi="細明體" w:hint="eastAsia"/>
        </w:rPr>
        <w:t>六、協助學校及學術研究機構處理網路其他相關問題。</w:t>
      </w:r>
    </w:p>
    <w:p w:rsidR="00000000" w:rsidRDefault="008A2E3A">
      <w:pPr>
        <w:pStyle w:val="a4"/>
        <w:rPr>
          <w:rFonts w:ascii="細明體" w:eastAsia="細明體" w:hAnsi="細明體" w:hint="eastAsia"/>
        </w:rPr>
      </w:pPr>
      <w:r>
        <w:rPr>
          <w:rFonts w:ascii="細明體" w:eastAsia="細明體" w:hAnsi="細明體" w:hint="eastAsia"/>
        </w:rPr>
        <w:t>第十一條（宿網）</w:t>
      </w:r>
    </w:p>
    <w:p w:rsidR="00000000" w:rsidRDefault="008A2E3A">
      <w:pPr>
        <w:pStyle w:val="a4"/>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學校宿舍網路管理應納入本規範，其</w:t>
      </w:r>
      <w:r>
        <w:rPr>
          <w:rFonts w:ascii="細明體" w:eastAsia="細明體" w:hAnsi="細明體" w:hint="eastAsia"/>
          <w:b/>
          <w:color w:val="FF00FF"/>
        </w:rPr>
        <w:t>管理辦法另訂之</w:t>
      </w:r>
      <w:r>
        <w:rPr>
          <w:rFonts w:ascii="細明體" w:eastAsia="細明體" w:hAnsi="細明體" w:hint="eastAsia"/>
        </w:rPr>
        <w:t>。</w:t>
      </w:r>
    </w:p>
    <w:p w:rsidR="00000000" w:rsidRDefault="008A2E3A">
      <w:pPr>
        <w:tabs>
          <w:tab w:val="left" w:pos="1440"/>
          <w:tab w:val="left" w:pos="1620"/>
        </w:tabs>
        <w:snapToGrid w:val="0"/>
        <w:spacing w:line="440" w:lineRule="exact"/>
        <w:ind w:left="1120" w:hanging="1120"/>
        <w:jc w:val="both"/>
        <w:rPr>
          <w:rFonts w:ascii="細明體" w:eastAsia="細明體" w:hAnsi="細明體" w:hint="eastAsia"/>
          <w:sz w:val="28"/>
        </w:rPr>
      </w:pPr>
      <w:r>
        <w:rPr>
          <w:rFonts w:ascii="細明體" w:eastAsia="細明體" w:hAnsi="細明體" w:hint="eastAsia"/>
          <w:sz w:val="28"/>
        </w:rPr>
        <w:t>第十二條（申請）</w:t>
      </w:r>
    </w:p>
    <w:p w:rsidR="00000000" w:rsidRDefault="008A2E3A">
      <w:pPr>
        <w:tabs>
          <w:tab w:val="left" w:pos="1440"/>
          <w:tab w:val="left" w:pos="1620"/>
        </w:tabs>
        <w:snapToGrid w:val="0"/>
        <w:spacing w:line="440" w:lineRule="exact"/>
        <w:ind w:left="1120" w:hanging="1120"/>
        <w:jc w:val="both"/>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申請</w:t>
      </w:r>
      <w:r>
        <w:rPr>
          <w:rFonts w:ascii="細明體" w:eastAsia="細明體" w:hAnsi="細明體" w:hint="eastAsia"/>
          <w:sz w:val="28"/>
        </w:rPr>
        <w:t>edu.tw</w:t>
      </w:r>
      <w:r>
        <w:rPr>
          <w:rFonts w:ascii="細明體" w:eastAsia="細明體" w:hAnsi="細明體" w:hint="eastAsia"/>
          <w:sz w:val="28"/>
        </w:rPr>
        <w:t>底下的網域名稱</w:t>
      </w:r>
      <w:r>
        <w:rPr>
          <w:rFonts w:ascii="細明體" w:eastAsia="細明體" w:hAnsi="細明體" w:hint="eastAsia"/>
          <w:sz w:val="28"/>
        </w:rPr>
        <w:t>(DNS)</w:t>
      </w:r>
      <w:r>
        <w:rPr>
          <w:rFonts w:ascii="細明體" w:eastAsia="細明體" w:hAnsi="細明體" w:hint="eastAsia"/>
          <w:sz w:val="28"/>
        </w:rPr>
        <w:t>，應事前經所屬網路管理單位註冊登記與核准之。</w:t>
      </w:r>
    </w:p>
    <w:p w:rsidR="00000000" w:rsidRDefault="008A2E3A">
      <w:pPr>
        <w:tabs>
          <w:tab w:val="left" w:pos="1440"/>
          <w:tab w:val="left" w:pos="1620"/>
        </w:tabs>
        <w:snapToGrid w:val="0"/>
        <w:spacing w:line="440" w:lineRule="exact"/>
        <w:ind w:left="1120" w:hanging="1120"/>
        <w:jc w:val="both"/>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 xml:space="preserve"> </w:t>
      </w:r>
      <w:r>
        <w:rPr>
          <w:rFonts w:ascii="細明體" w:eastAsia="細明體" w:hAnsi="細明體" w:hint="eastAsia"/>
          <w:sz w:val="28"/>
        </w:rPr>
        <w:t>前項申請單位或個人應負起管理、維護網路安全之責，並遵守本規範規定。</w:t>
      </w:r>
    </w:p>
    <w:p w:rsidR="00000000" w:rsidRDefault="008A2E3A">
      <w:pPr>
        <w:spacing w:line="440" w:lineRule="exact"/>
        <w:ind w:left="1400" w:hanging="1400"/>
        <w:rPr>
          <w:rFonts w:ascii="細明體" w:eastAsia="細明體" w:hAnsi="細明體" w:hint="eastAsia"/>
          <w:sz w:val="28"/>
        </w:rPr>
      </w:pPr>
      <w:r>
        <w:rPr>
          <w:rFonts w:ascii="細明體" w:eastAsia="細明體" w:hAnsi="細明體" w:hint="eastAsia"/>
          <w:sz w:val="28"/>
        </w:rPr>
        <w:t>第十三條（中斷使用）</w:t>
      </w:r>
    </w:p>
    <w:p w:rsidR="00000000" w:rsidRDefault="008A2E3A">
      <w:pPr>
        <w:spacing w:line="440" w:lineRule="exact"/>
        <w:ind w:left="1121"/>
        <w:rPr>
          <w:rFonts w:ascii="細明體" w:eastAsia="細明體" w:hAnsi="細明體" w:hint="eastAsia"/>
          <w:sz w:val="28"/>
        </w:rPr>
      </w:pPr>
      <w:r>
        <w:rPr>
          <w:rFonts w:ascii="細明體" w:eastAsia="細明體" w:hAnsi="細明體" w:hint="eastAsia"/>
          <w:sz w:val="28"/>
        </w:rPr>
        <w:t>有下列各款情形之一者，各級網路管理單位得中斷網路使用：</w:t>
      </w:r>
    </w:p>
    <w:p w:rsidR="00000000" w:rsidRDefault="008A2E3A">
      <w:pPr>
        <w:pStyle w:val="a3"/>
        <w:spacing w:line="440" w:lineRule="exact"/>
        <w:ind w:firstLine="1120"/>
        <w:rPr>
          <w:rFonts w:ascii="細明體" w:eastAsia="細明體" w:hAnsi="細明體" w:hint="eastAsia"/>
          <w:sz w:val="28"/>
        </w:rPr>
      </w:pPr>
      <w:r>
        <w:rPr>
          <w:rFonts w:ascii="細明體" w:eastAsia="細明體" w:hAnsi="細明體" w:hint="eastAsia"/>
          <w:sz w:val="28"/>
        </w:rPr>
        <w:t>一、更新、遷移網路設備者。</w:t>
      </w:r>
    </w:p>
    <w:p w:rsidR="00000000" w:rsidRDefault="008A2E3A">
      <w:pPr>
        <w:pStyle w:val="a3"/>
        <w:spacing w:line="440" w:lineRule="exact"/>
        <w:ind w:firstLine="1120"/>
        <w:rPr>
          <w:rFonts w:ascii="細明體" w:eastAsia="細明體" w:hAnsi="細明體" w:hint="eastAsia"/>
          <w:sz w:val="28"/>
        </w:rPr>
      </w:pPr>
      <w:r>
        <w:rPr>
          <w:rFonts w:ascii="細明體" w:eastAsia="細明體" w:hAnsi="細明體" w:hint="eastAsia"/>
          <w:sz w:val="28"/>
        </w:rPr>
        <w:t>二、測試、維護或檢查網路安全者。</w:t>
      </w:r>
    </w:p>
    <w:p w:rsidR="00000000" w:rsidRDefault="008A2E3A">
      <w:pPr>
        <w:pStyle w:val="a3"/>
        <w:spacing w:line="440" w:lineRule="exact"/>
        <w:ind w:left="1681" w:hanging="560"/>
        <w:rPr>
          <w:rFonts w:ascii="細明體" w:eastAsia="細明體" w:hAnsi="細明體" w:hint="eastAsia"/>
          <w:sz w:val="28"/>
        </w:rPr>
      </w:pPr>
      <w:r>
        <w:rPr>
          <w:rFonts w:ascii="細明體" w:eastAsia="細明體" w:hAnsi="細明體" w:hint="eastAsia"/>
          <w:sz w:val="28"/>
        </w:rPr>
        <w:t>三、依合理之根據，懷疑有違反本規範之情事，為取得證據或調查不當行為者。</w:t>
      </w:r>
    </w:p>
    <w:p w:rsidR="00000000" w:rsidRDefault="008A2E3A">
      <w:pPr>
        <w:pStyle w:val="a3"/>
        <w:spacing w:line="440" w:lineRule="exact"/>
        <w:ind w:firstLine="1120"/>
        <w:rPr>
          <w:rFonts w:ascii="細明體" w:eastAsia="細明體" w:hAnsi="細明體" w:hint="eastAsia"/>
          <w:sz w:val="28"/>
        </w:rPr>
      </w:pPr>
      <w:r>
        <w:rPr>
          <w:rFonts w:ascii="細明體" w:eastAsia="細明體" w:hAnsi="細明體" w:hint="eastAsia"/>
          <w:sz w:val="28"/>
        </w:rPr>
        <w:t>四、為配合司法機關之調查者。</w:t>
      </w:r>
    </w:p>
    <w:p w:rsidR="00000000" w:rsidRDefault="008A2E3A">
      <w:pPr>
        <w:pStyle w:val="a3"/>
        <w:spacing w:line="440" w:lineRule="exact"/>
        <w:ind w:firstLine="1120"/>
        <w:rPr>
          <w:rFonts w:ascii="細明體" w:eastAsia="細明體" w:hAnsi="細明體" w:hint="eastAsia"/>
          <w:sz w:val="28"/>
        </w:rPr>
      </w:pPr>
      <w:r>
        <w:rPr>
          <w:rFonts w:ascii="細明體" w:eastAsia="細明體" w:hAnsi="細明體" w:hint="eastAsia"/>
          <w:sz w:val="28"/>
        </w:rPr>
        <w:lastRenderedPageBreak/>
        <w:t>五、為阻斷不當或不法行為存續或擴散者。</w:t>
      </w:r>
    </w:p>
    <w:p w:rsidR="00000000" w:rsidRDefault="008A2E3A">
      <w:pPr>
        <w:pStyle w:val="a3"/>
        <w:spacing w:line="440" w:lineRule="exact"/>
        <w:ind w:firstLine="1120"/>
        <w:rPr>
          <w:rFonts w:ascii="細明體" w:eastAsia="細明體" w:hAnsi="細明體" w:hint="eastAsia"/>
          <w:sz w:val="28"/>
        </w:rPr>
      </w:pPr>
      <w:r>
        <w:rPr>
          <w:rFonts w:ascii="細明體" w:eastAsia="細明體" w:hAnsi="細明體" w:hint="eastAsia"/>
          <w:sz w:val="28"/>
        </w:rPr>
        <w:t>六、不可抗拒的外力者。</w:t>
      </w:r>
    </w:p>
    <w:p w:rsidR="00000000" w:rsidRDefault="008A2E3A">
      <w:pPr>
        <w:pStyle w:val="a3"/>
        <w:spacing w:line="440" w:lineRule="exact"/>
        <w:ind w:firstLine="1120"/>
        <w:rPr>
          <w:rFonts w:ascii="細明體" w:eastAsia="細明體" w:hAnsi="細明體" w:hint="eastAsia"/>
          <w:sz w:val="28"/>
        </w:rPr>
      </w:pPr>
      <w:r>
        <w:rPr>
          <w:rFonts w:ascii="細明體" w:eastAsia="細明體" w:hAnsi="細明體" w:hint="eastAsia"/>
          <w:sz w:val="28"/>
        </w:rPr>
        <w:t>七、其他非中斷不足以排除網路障礙者。</w:t>
      </w:r>
    </w:p>
    <w:p w:rsidR="00000000" w:rsidRDefault="008A2E3A">
      <w:pPr>
        <w:tabs>
          <w:tab w:val="left" w:pos="1440"/>
          <w:tab w:val="left" w:pos="1620"/>
        </w:tabs>
        <w:snapToGrid w:val="0"/>
        <w:spacing w:line="440" w:lineRule="exact"/>
        <w:ind w:left="1121"/>
        <w:jc w:val="both"/>
        <w:rPr>
          <w:rFonts w:ascii="細明體" w:eastAsia="細明體" w:hAnsi="細明體" w:hint="eastAsia"/>
          <w:sz w:val="28"/>
        </w:rPr>
      </w:pPr>
      <w:r>
        <w:rPr>
          <w:rFonts w:ascii="細明體" w:eastAsia="細明體" w:hAnsi="細明體" w:hint="eastAsia"/>
          <w:sz w:val="28"/>
        </w:rPr>
        <w:t>前項中斷使用，應於法定職權範圍內為之，並符合必要原則、比例原則和權益損害最小原則等。</w:t>
      </w:r>
    </w:p>
    <w:p w:rsidR="00000000" w:rsidRDefault="008A2E3A">
      <w:pPr>
        <w:tabs>
          <w:tab w:val="left" w:pos="1440"/>
          <w:tab w:val="left" w:pos="1620"/>
        </w:tabs>
        <w:snapToGrid w:val="0"/>
        <w:spacing w:line="440" w:lineRule="exact"/>
        <w:ind w:left="1121"/>
        <w:jc w:val="both"/>
        <w:rPr>
          <w:rFonts w:ascii="細明體" w:eastAsia="細明體" w:hAnsi="細明體" w:hint="eastAsia"/>
          <w:sz w:val="28"/>
        </w:rPr>
      </w:pPr>
      <w:r>
        <w:rPr>
          <w:rFonts w:ascii="細明體" w:eastAsia="細明體" w:hAnsi="細明體" w:hint="eastAsia"/>
          <w:sz w:val="28"/>
        </w:rPr>
        <w:t>有關第一項中</w:t>
      </w:r>
      <w:r>
        <w:rPr>
          <w:rFonts w:ascii="細明體" w:eastAsia="細明體" w:hAnsi="細明體" w:hint="eastAsia"/>
          <w:sz w:val="28"/>
        </w:rPr>
        <w:t>斷使用，應事前告知當事人或單位。</w:t>
      </w:r>
    </w:p>
    <w:p w:rsidR="00000000" w:rsidRDefault="008A2E3A">
      <w:pPr>
        <w:tabs>
          <w:tab w:val="left" w:pos="1440"/>
          <w:tab w:val="left" w:pos="1620"/>
        </w:tabs>
        <w:snapToGrid w:val="0"/>
        <w:spacing w:line="440" w:lineRule="exact"/>
        <w:ind w:left="1121"/>
        <w:jc w:val="both"/>
        <w:rPr>
          <w:rFonts w:ascii="細明體" w:eastAsia="細明體" w:hAnsi="細明體" w:hint="eastAsia"/>
          <w:sz w:val="28"/>
        </w:rPr>
      </w:pPr>
    </w:p>
    <w:p w:rsidR="00000000" w:rsidRDefault="008A2E3A">
      <w:pPr>
        <w:tabs>
          <w:tab w:val="left" w:pos="1260"/>
        </w:tabs>
        <w:snapToGrid w:val="0"/>
        <w:spacing w:line="440" w:lineRule="exact"/>
        <w:jc w:val="both"/>
        <w:rPr>
          <w:rFonts w:ascii="細明體" w:eastAsia="細明體" w:hAnsi="細明體" w:hint="eastAsia"/>
          <w:sz w:val="32"/>
        </w:rPr>
      </w:pPr>
      <w:r>
        <w:rPr>
          <w:rFonts w:ascii="細明體" w:eastAsia="細明體" w:hAnsi="細明體" w:hint="eastAsia"/>
          <w:b/>
          <w:sz w:val="32"/>
        </w:rPr>
        <w:t>第四章</w:t>
      </w:r>
      <w:r>
        <w:rPr>
          <w:rFonts w:ascii="細明體" w:eastAsia="細明體" w:hAnsi="細明體" w:hint="eastAsia"/>
          <w:b/>
          <w:sz w:val="32"/>
        </w:rPr>
        <w:t xml:space="preserve"> </w:t>
      </w:r>
      <w:r>
        <w:rPr>
          <w:rFonts w:ascii="細明體" w:eastAsia="細明體" w:hAnsi="細明體" w:hint="eastAsia"/>
          <w:b/>
          <w:sz w:val="32"/>
        </w:rPr>
        <w:t>智慧財產權</w:t>
      </w:r>
    </w:p>
    <w:p w:rsidR="00000000" w:rsidRDefault="008A2E3A">
      <w:pPr>
        <w:snapToGrid w:val="0"/>
        <w:spacing w:line="440" w:lineRule="exact"/>
        <w:jc w:val="both"/>
        <w:rPr>
          <w:rFonts w:ascii="細明體" w:eastAsia="細明體" w:hAnsi="細明體" w:hint="eastAsia"/>
          <w:sz w:val="28"/>
        </w:rPr>
      </w:pPr>
    </w:p>
    <w:p w:rsidR="00000000" w:rsidRDefault="008A2E3A">
      <w:pPr>
        <w:spacing w:line="440" w:lineRule="exact"/>
        <w:ind w:left="1540" w:hanging="1540"/>
        <w:rPr>
          <w:rFonts w:ascii="細明體" w:eastAsia="細明體" w:hAnsi="細明體" w:hint="eastAsia"/>
          <w:sz w:val="28"/>
        </w:rPr>
      </w:pPr>
      <w:r>
        <w:rPr>
          <w:rFonts w:ascii="細明體" w:eastAsia="細明體" w:hAnsi="細明體" w:hint="eastAsia"/>
          <w:sz w:val="28"/>
        </w:rPr>
        <w:t>第十四條（避免行為）</w:t>
      </w:r>
    </w:p>
    <w:p w:rsidR="00000000" w:rsidRDefault="008A2E3A">
      <w:pPr>
        <w:spacing w:line="440" w:lineRule="exact"/>
        <w:ind w:left="1820" w:hanging="1820"/>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網路使用者應尊重智慧財產權，避免下列可能涉及侵害智慧</w:t>
      </w:r>
    </w:p>
    <w:p w:rsidR="00000000" w:rsidRDefault="008A2E3A">
      <w:pPr>
        <w:spacing w:line="440" w:lineRule="exact"/>
        <w:ind w:left="1821" w:hanging="700"/>
        <w:rPr>
          <w:rFonts w:ascii="細明體" w:eastAsia="細明體" w:hAnsi="細明體" w:hint="eastAsia"/>
          <w:sz w:val="28"/>
        </w:rPr>
      </w:pPr>
      <w:r>
        <w:rPr>
          <w:rFonts w:ascii="細明體" w:eastAsia="細明體" w:hAnsi="細明體" w:hint="eastAsia"/>
          <w:sz w:val="28"/>
        </w:rPr>
        <w:t>財產權之行為：</w:t>
      </w:r>
    </w:p>
    <w:p w:rsidR="00000000" w:rsidRDefault="008A2E3A">
      <w:pPr>
        <w:spacing w:line="440" w:lineRule="exact"/>
        <w:ind w:firstLine="1120"/>
        <w:rPr>
          <w:rFonts w:ascii="細明體" w:eastAsia="細明體" w:hAnsi="細明體" w:hint="eastAsia"/>
          <w:sz w:val="28"/>
        </w:rPr>
      </w:pPr>
      <w:r>
        <w:rPr>
          <w:rFonts w:ascii="細明體" w:eastAsia="細明體" w:hAnsi="細明體" w:hint="eastAsia"/>
          <w:sz w:val="28"/>
        </w:rPr>
        <w:t>一、使用未經授權之電腦程式。</w:t>
      </w:r>
    </w:p>
    <w:p w:rsidR="00000000" w:rsidRDefault="008A2E3A">
      <w:pPr>
        <w:spacing w:line="440" w:lineRule="exact"/>
        <w:ind w:firstLine="1120"/>
        <w:rPr>
          <w:rFonts w:ascii="細明體" w:eastAsia="細明體" w:hAnsi="細明體" w:hint="eastAsia"/>
          <w:sz w:val="28"/>
        </w:rPr>
      </w:pPr>
      <w:r>
        <w:rPr>
          <w:rFonts w:ascii="細明體" w:eastAsia="細明體" w:hAnsi="細明體" w:hint="eastAsia"/>
          <w:sz w:val="28"/>
        </w:rPr>
        <w:t>二、下載、重製或販賣圖利受著作權法保護之著作。</w:t>
      </w:r>
    </w:p>
    <w:p w:rsidR="00000000" w:rsidRDefault="008A2E3A">
      <w:pPr>
        <w:spacing w:line="440" w:lineRule="exact"/>
        <w:ind w:left="1681" w:hanging="560"/>
        <w:rPr>
          <w:rFonts w:ascii="細明體" w:eastAsia="細明體" w:hAnsi="細明體" w:hint="eastAsia"/>
          <w:sz w:val="28"/>
        </w:rPr>
      </w:pPr>
      <w:r>
        <w:rPr>
          <w:rFonts w:ascii="細明體" w:eastAsia="細明體" w:hAnsi="細明體" w:hint="eastAsia"/>
          <w:sz w:val="28"/>
        </w:rPr>
        <w:t>三、未經著作權人之同意，將受保護之著作上傳於公開之網站上。</w:t>
      </w:r>
    </w:p>
    <w:p w:rsidR="00000000" w:rsidRDefault="008A2E3A">
      <w:pPr>
        <w:spacing w:line="440" w:lineRule="exact"/>
        <w:ind w:left="1681" w:hanging="560"/>
        <w:rPr>
          <w:rFonts w:ascii="細明體" w:eastAsia="細明體" w:hAnsi="細明體" w:hint="eastAsia"/>
          <w:sz w:val="28"/>
        </w:rPr>
      </w:pPr>
      <w:r>
        <w:rPr>
          <w:rFonts w:ascii="細明體" w:eastAsia="細明體" w:hAnsi="細明體" w:hint="eastAsia"/>
          <w:sz w:val="28"/>
        </w:rPr>
        <w:t>四、電子佈告欄或其他線上討論區上之文章，經作者明示禁止轉載，而仍然任意轉載。</w:t>
      </w:r>
    </w:p>
    <w:p w:rsidR="00000000" w:rsidRDefault="008A2E3A">
      <w:pPr>
        <w:spacing w:line="440" w:lineRule="exact"/>
        <w:ind w:firstLine="1120"/>
        <w:rPr>
          <w:rFonts w:ascii="細明體" w:eastAsia="細明體" w:hAnsi="細明體" w:hint="eastAsia"/>
          <w:sz w:val="28"/>
        </w:rPr>
      </w:pPr>
      <w:r>
        <w:rPr>
          <w:rFonts w:ascii="細明體" w:eastAsia="細明體" w:hAnsi="細明體" w:hint="eastAsia"/>
          <w:sz w:val="28"/>
        </w:rPr>
        <w:t>五、架設網站供他人或公眾下載受保護之著作。</w:t>
      </w:r>
    </w:p>
    <w:p w:rsidR="00000000" w:rsidRDefault="008A2E3A">
      <w:pPr>
        <w:spacing w:line="440" w:lineRule="exact"/>
        <w:ind w:left="1681" w:hanging="560"/>
        <w:rPr>
          <w:rFonts w:ascii="細明體" w:eastAsia="細明體" w:hAnsi="細明體" w:hint="eastAsia"/>
          <w:sz w:val="28"/>
        </w:rPr>
      </w:pPr>
      <w:r>
        <w:rPr>
          <w:rFonts w:ascii="細明體" w:eastAsia="細明體" w:hAnsi="細明體" w:hint="eastAsia"/>
          <w:sz w:val="28"/>
        </w:rPr>
        <w:t>六、利用網頁程式張貼或超連結未經授權他人或公眾網頁內容於個人網頁內等暫時性重製之行為。</w:t>
      </w:r>
    </w:p>
    <w:p w:rsidR="00000000" w:rsidRDefault="008A2E3A">
      <w:pPr>
        <w:spacing w:line="440" w:lineRule="exact"/>
        <w:ind w:firstLine="1120"/>
        <w:rPr>
          <w:rFonts w:ascii="細明體" w:eastAsia="細明體" w:hAnsi="細明體" w:hint="eastAsia"/>
          <w:sz w:val="28"/>
        </w:rPr>
      </w:pPr>
      <w:r>
        <w:rPr>
          <w:rFonts w:ascii="細明體" w:eastAsia="細明體" w:hAnsi="細明體" w:hint="eastAsia"/>
          <w:noProof/>
          <w:sz w:val="28"/>
        </w:rPr>
        <w:t>七、</w:t>
      </w:r>
      <w:r>
        <w:rPr>
          <w:rFonts w:ascii="細明體" w:eastAsia="細明體" w:hAnsi="細明體" w:hint="eastAsia"/>
          <w:sz w:val="28"/>
        </w:rPr>
        <w:t>其他可能涉及侵害智慧財產權之行為。</w:t>
      </w:r>
    </w:p>
    <w:p w:rsidR="00000000" w:rsidRDefault="008A2E3A">
      <w:pPr>
        <w:spacing w:line="440" w:lineRule="exact"/>
        <w:ind w:left="1121"/>
        <w:rPr>
          <w:rFonts w:ascii="細明體" w:eastAsia="細明體" w:hAnsi="細明體" w:hint="eastAsia"/>
          <w:sz w:val="28"/>
        </w:rPr>
      </w:pPr>
      <w:r>
        <w:rPr>
          <w:rFonts w:ascii="細明體" w:eastAsia="細明體" w:hAnsi="細明體" w:hint="eastAsia"/>
          <w:sz w:val="28"/>
        </w:rPr>
        <w:t>前項第六款網頁程式如為他人或公眾網頁原始檔程式碼者，準用之。</w:t>
      </w:r>
    </w:p>
    <w:p w:rsidR="00000000" w:rsidRDefault="008A2E3A">
      <w:pPr>
        <w:spacing w:line="440" w:lineRule="exact"/>
        <w:ind w:left="1540" w:hanging="1540"/>
        <w:rPr>
          <w:rFonts w:ascii="細明體" w:eastAsia="細明體" w:hAnsi="細明體" w:hint="eastAsia"/>
          <w:sz w:val="28"/>
        </w:rPr>
      </w:pPr>
      <w:r>
        <w:rPr>
          <w:rFonts w:ascii="細明體" w:eastAsia="細明體" w:hAnsi="細明體" w:hint="eastAsia"/>
          <w:sz w:val="28"/>
        </w:rPr>
        <w:t>第十五條（合理使用）</w:t>
      </w:r>
    </w:p>
    <w:p w:rsidR="00000000" w:rsidRDefault="008A2E3A">
      <w:pPr>
        <w:spacing w:line="440" w:lineRule="exact"/>
        <w:ind w:left="1078" w:hanging="1078"/>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為教學、研究或其他正當目的之必要，在合理範圍內得利用網路引用已公開發表之著作。</w:t>
      </w:r>
    </w:p>
    <w:p w:rsidR="00000000" w:rsidRDefault="008A2E3A">
      <w:pPr>
        <w:spacing w:line="440" w:lineRule="exact"/>
        <w:ind w:left="1541" w:hanging="420"/>
        <w:rPr>
          <w:rFonts w:ascii="細明體" w:eastAsia="細明體" w:hAnsi="細明體" w:hint="eastAsia"/>
          <w:sz w:val="28"/>
        </w:rPr>
      </w:pPr>
      <w:r>
        <w:rPr>
          <w:rFonts w:ascii="細明體" w:eastAsia="細明體" w:hAnsi="細明體" w:hint="eastAsia"/>
          <w:sz w:val="28"/>
        </w:rPr>
        <w:t>前項有關合理範圍，依「著作權法</w:t>
      </w:r>
      <w:r>
        <w:rPr>
          <w:rFonts w:ascii="細明體" w:eastAsia="細明體" w:hAnsi="細明體"/>
          <w:sz w:val="28"/>
        </w:rPr>
        <w:t>」</w:t>
      </w:r>
      <w:r>
        <w:rPr>
          <w:rFonts w:ascii="細明體" w:eastAsia="細明體" w:hAnsi="細明體" w:hint="eastAsia"/>
          <w:sz w:val="28"/>
        </w:rPr>
        <w:t>相關規定為之。</w:t>
      </w:r>
      <w:r>
        <w:rPr>
          <w:rFonts w:ascii="細明體" w:eastAsia="細明體" w:hAnsi="細明體"/>
          <w:sz w:val="28"/>
        </w:rPr>
        <w:br/>
      </w:r>
    </w:p>
    <w:p w:rsidR="00000000" w:rsidRDefault="008A2E3A">
      <w:pPr>
        <w:spacing w:line="440" w:lineRule="exact"/>
        <w:rPr>
          <w:rFonts w:ascii="細明體" w:eastAsia="細明體" w:hAnsi="細明體" w:hint="eastAsia"/>
          <w:b/>
          <w:sz w:val="32"/>
        </w:rPr>
      </w:pPr>
      <w:r>
        <w:rPr>
          <w:rFonts w:ascii="細明體" w:eastAsia="細明體" w:hAnsi="細明體" w:hint="eastAsia"/>
          <w:b/>
          <w:sz w:val="32"/>
        </w:rPr>
        <w:t>第五章</w:t>
      </w:r>
      <w:r>
        <w:rPr>
          <w:rFonts w:ascii="細明體" w:eastAsia="細明體" w:hAnsi="細明體" w:hint="eastAsia"/>
          <w:b/>
          <w:sz w:val="32"/>
        </w:rPr>
        <w:t xml:space="preserve">  </w:t>
      </w:r>
      <w:r>
        <w:rPr>
          <w:rFonts w:ascii="細明體" w:eastAsia="細明體" w:hAnsi="細明體" w:hint="eastAsia"/>
          <w:b/>
          <w:sz w:val="32"/>
        </w:rPr>
        <w:t>網路守密</w:t>
      </w:r>
    </w:p>
    <w:p w:rsidR="00000000" w:rsidRDefault="008A2E3A">
      <w:pPr>
        <w:pStyle w:val="a3"/>
        <w:spacing w:line="440" w:lineRule="exact"/>
        <w:rPr>
          <w:rFonts w:ascii="細明體" w:eastAsia="細明體" w:hAnsi="細明體" w:hint="eastAsia"/>
          <w:sz w:val="28"/>
        </w:rPr>
      </w:pPr>
    </w:p>
    <w:p w:rsidR="00000000" w:rsidRDefault="008A2E3A">
      <w:pPr>
        <w:pStyle w:val="a3"/>
        <w:spacing w:line="440" w:lineRule="exact"/>
        <w:rPr>
          <w:rFonts w:ascii="細明體" w:eastAsia="細明體" w:hAnsi="細明體" w:hint="eastAsia"/>
          <w:sz w:val="28"/>
        </w:rPr>
      </w:pPr>
      <w:r>
        <w:rPr>
          <w:rFonts w:ascii="細明體" w:eastAsia="細明體" w:hAnsi="細明體" w:hint="eastAsia"/>
          <w:sz w:val="28"/>
        </w:rPr>
        <w:lastRenderedPageBreak/>
        <w:t>第十六條（</w:t>
      </w:r>
      <w:r>
        <w:rPr>
          <w:rFonts w:ascii="細明體" w:eastAsia="細明體" w:hAnsi="細明體"/>
          <w:sz w:val="28"/>
        </w:rPr>
        <w:t>特定目的</w:t>
      </w:r>
      <w:r>
        <w:rPr>
          <w:rFonts w:ascii="細明體" w:eastAsia="細明體" w:hAnsi="細明體" w:hint="eastAsia"/>
          <w:sz w:val="28"/>
        </w:rPr>
        <w:t>）</w:t>
      </w:r>
    </w:p>
    <w:p w:rsidR="00000000" w:rsidRDefault="008A2E3A">
      <w:pPr>
        <w:spacing w:line="440" w:lineRule="exact"/>
        <w:ind w:left="1121"/>
        <w:rPr>
          <w:rFonts w:ascii="細明體" w:eastAsia="細明體" w:hAnsi="細明體" w:hint="eastAsia"/>
          <w:sz w:val="28"/>
        </w:rPr>
      </w:pPr>
      <w:r>
        <w:rPr>
          <w:rFonts w:ascii="細明體" w:eastAsia="細明體" w:hAnsi="細明體" w:hint="eastAsia"/>
          <w:sz w:val="28"/>
        </w:rPr>
        <w:t>基於網路安全與管理，有效利用網路資源等需要，網路</w:t>
      </w:r>
      <w:r>
        <w:rPr>
          <w:rFonts w:ascii="細明體" w:eastAsia="細明體" w:hAnsi="細明體"/>
          <w:sz w:val="28"/>
        </w:rPr>
        <w:t>使用者</w:t>
      </w:r>
      <w:r>
        <w:rPr>
          <w:rFonts w:ascii="細明體" w:eastAsia="細明體" w:hAnsi="細明體" w:hint="eastAsia"/>
          <w:sz w:val="28"/>
        </w:rPr>
        <w:t>應提供必要的個人資料給所屬網路管理單位。</w:t>
      </w:r>
    </w:p>
    <w:p w:rsidR="00000000" w:rsidRDefault="008A2E3A">
      <w:pPr>
        <w:spacing w:line="440" w:lineRule="exact"/>
        <w:ind w:left="1121"/>
        <w:rPr>
          <w:rFonts w:ascii="細明體" w:eastAsia="細明體" w:hAnsi="細明體" w:hint="eastAsia"/>
          <w:sz w:val="28"/>
        </w:rPr>
      </w:pPr>
      <w:r>
        <w:rPr>
          <w:rFonts w:ascii="細明體" w:eastAsia="細明體" w:hAnsi="細明體" w:hint="eastAsia"/>
          <w:sz w:val="28"/>
        </w:rPr>
        <w:t>前項規定</w:t>
      </w:r>
      <w:r>
        <w:rPr>
          <w:rFonts w:ascii="細明體" w:eastAsia="細明體" w:hAnsi="細明體"/>
          <w:sz w:val="28"/>
        </w:rPr>
        <w:t>個人資料之蒐集或利用，應尊重當事人之權益，依誠實及信用方法為之，不得逾越特定目的之必要範圍。</w:t>
      </w:r>
    </w:p>
    <w:p w:rsidR="00000000" w:rsidRDefault="008A2E3A">
      <w:pPr>
        <w:spacing w:line="440" w:lineRule="exact"/>
        <w:ind w:left="1121"/>
        <w:rPr>
          <w:rFonts w:ascii="細明體" w:eastAsia="細明體" w:hAnsi="細明體" w:hint="eastAsia"/>
          <w:sz w:val="28"/>
        </w:rPr>
      </w:pPr>
      <w:r>
        <w:rPr>
          <w:rFonts w:ascii="細明體" w:eastAsia="細明體" w:hAnsi="細明體" w:hint="eastAsia"/>
          <w:sz w:val="28"/>
        </w:rPr>
        <w:t>第一項有關個人資料，指「電腦處理個人資料保護法</w:t>
      </w:r>
      <w:r>
        <w:rPr>
          <w:rFonts w:ascii="細明體" w:eastAsia="細明體" w:hAnsi="細明體"/>
          <w:sz w:val="28"/>
        </w:rPr>
        <w:t>」</w:t>
      </w:r>
      <w:r>
        <w:rPr>
          <w:rFonts w:ascii="細明體" w:eastAsia="細明體" w:hAnsi="細明體" w:hint="eastAsia"/>
          <w:sz w:val="28"/>
        </w:rPr>
        <w:t>第三條第三款與依規定受保護之個人網路傳輸訊息。</w:t>
      </w:r>
    </w:p>
    <w:p w:rsidR="00000000" w:rsidRDefault="008A2E3A">
      <w:pPr>
        <w:pStyle w:val="a3"/>
        <w:spacing w:line="440" w:lineRule="exact"/>
        <w:ind w:left="1260" w:hanging="1260"/>
        <w:rPr>
          <w:rFonts w:ascii="細明體" w:eastAsia="細明體" w:hAnsi="細明體" w:hint="eastAsia"/>
          <w:sz w:val="28"/>
        </w:rPr>
      </w:pPr>
      <w:r>
        <w:rPr>
          <w:rFonts w:ascii="細明體" w:eastAsia="細明體" w:hAnsi="細明體"/>
          <w:sz w:val="28"/>
        </w:rPr>
        <w:t>第十</w:t>
      </w:r>
      <w:r>
        <w:rPr>
          <w:rFonts w:ascii="細明體" w:eastAsia="細明體" w:hAnsi="細明體" w:hint="eastAsia"/>
          <w:sz w:val="28"/>
        </w:rPr>
        <w:t>七</w:t>
      </w:r>
      <w:r>
        <w:rPr>
          <w:rFonts w:ascii="細明體" w:eastAsia="細明體" w:hAnsi="細明體"/>
          <w:sz w:val="28"/>
        </w:rPr>
        <w:t>條</w:t>
      </w:r>
      <w:r>
        <w:rPr>
          <w:rFonts w:ascii="細明體" w:eastAsia="細明體" w:hAnsi="細明體"/>
          <w:sz w:val="28"/>
        </w:rPr>
        <w:t xml:space="preserve"> </w:t>
      </w:r>
      <w:r>
        <w:rPr>
          <w:rFonts w:ascii="細明體" w:eastAsia="細明體" w:hAnsi="細明體" w:hint="eastAsia"/>
          <w:sz w:val="28"/>
        </w:rPr>
        <w:t>(</w:t>
      </w:r>
      <w:r>
        <w:rPr>
          <w:rFonts w:ascii="細明體" w:eastAsia="細明體" w:hAnsi="細明體"/>
          <w:sz w:val="28"/>
        </w:rPr>
        <w:t>安全維護</w:t>
      </w:r>
      <w:r>
        <w:rPr>
          <w:rFonts w:ascii="細明體" w:eastAsia="細明體" w:hAnsi="細明體"/>
          <w:sz w:val="28"/>
        </w:rPr>
        <w:t xml:space="preserve">) </w:t>
      </w:r>
    </w:p>
    <w:p w:rsidR="00000000" w:rsidRDefault="008A2E3A">
      <w:pPr>
        <w:pStyle w:val="a3"/>
        <w:spacing w:line="440" w:lineRule="exact"/>
        <w:ind w:left="1080"/>
        <w:rPr>
          <w:rFonts w:ascii="細明體" w:eastAsia="細明體" w:hAnsi="細明體" w:hint="eastAsia"/>
          <w:sz w:val="28"/>
        </w:rPr>
      </w:pPr>
      <w:r>
        <w:rPr>
          <w:rFonts w:ascii="細明體" w:eastAsia="細明體" w:hAnsi="細明體" w:hint="eastAsia"/>
          <w:sz w:val="28"/>
        </w:rPr>
        <w:t>各單位持有、</w:t>
      </w:r>
      <w:r>
        <w:rPr>
          <w:rFonts w:ascii="細明體" w:eastAsia="細明體" w:hAnsi="細明體"/>
          <w:sz w:val="28"/>
        </w:rPr>
        <w:t>保有</w:t>
      </w:r>
      <w:r>
        <w:rPr>
          <w:rFonts w:ascii="細明體" w:eastAsia="細明體" w:hAnsi="細明體" w:hint="eastAsia"/>
          <w:sz w:val="28"/>
        </w:rPr>
        <w:t>而利用</w:t>
      </w:r>
      <w:r>
        <w:rPr>
          <w:rFonts w:ascii="細明體" w:eastAsia="細明體" w:hAnsi="細明體"/>
          <w:sz w:val="28"/>
        </w:rPr>
        <w:t>個人資料檔案者，應指定專人依相關</w:t>
      </w:r>
      <w:r>
        <w:rPr>
          <w:rFonts w:ascii="細明體" w:eastAsia="細明體" w:hAnsi="細明體" w:hint="eastAsia"/>
          <w:sz w:val="28"/>
        </w:rPr>
        <w:t>規定</w:t>
      </w:r>
      <w:r>
        <w:rPr>
          <w:rFonts w:ascii="細明體" w:eastAsia="細明體" w:hAnsi="細明體"/>
          <w:sz w:val="28"/>
        </w:rPr>
        <w:t>辦理安全維護事項，防止個人資料被</w:t>
      </w:r>
      <w:r>
        <w:rPr>
          <w:rFonts w:ascii="細明體" w:eastAsia="細明體" w:hAnsi="細明體" w:hint="eastAsia"/>
          <w:sz w:val="28"/>
        </w:rPr>
        <w:t>非法散布，</w:t>
      </w:r>
      <w:r>
        <w:rPr>
          <w:rFonts w:ascii="細明體" w:eastAsia="細明體" w:hAnsi="細明體"/>
          <w:sz w:val="28"/>
        </w:rPr>
        <w:t>竊取、竄改、毀損、滅失或洩漏</w:t>
      </w:r>
      <w:r>
        <w:rPr>
          <w:rFonts w:ascii="細明體" w:eastAsia="細明體" w:hAnsi="細明體" w:hint="eastAsia"/>
          <w:sz w:val="28"/>
        </w:rPr>
        <w:t>或特定目的以外不當處理</w:t>
      </w:r>
      <w:r>
        <w:rPr>
          <w:rFonts w:ascii="細明體" w:eastAsia="細明體" w:hAnsi="細明體"/>
          <w:sz w:val="28"/>
        </w:rPr>
        <w:t>。</w:t>
      </w:r>
    </w:p>
    <w:p w:rsidR="00000000" w:rsidRDefault="008A2E3A">
      <w:pPr>
        <w:pStyle w:val="a3"/>
        <w:spacing w:line="440" w:lineRule="exact"/>
        <w:ind w:left="1080"/>
        <w:rPr>
          <w:rFonts w:ascii="細明體" w:eastAsia="細明體" w:hAnsi="細明體" w:hint="eastAsia"/>
          <w:sz w:val="28"/>
        </w:rPr>
      </w:pPr>
      <w:r>
        <w:rPr>
          <w:rFonts w:ascii="細明體" w:eastAsia="細明體" w:hAnsi="細明體" w:hint="eastAsia"/>
          <w:sz w:val="28"/>
        </w:rPr>
        <w:t>前項</w:t>
      </w:r>
      <w:r>
        <w:rPr>
          <w:rFonts w:ascii="細明體" w:eastAsia="細明體" w:hAnsi="細明體"/>
          <w:sz w:val="28"/>
        </w:rPr>
        <w:t>利用，指</w:t>
      </w:r>
      <w:r>
        <w:rPr>
          <w:rFonts w:ascii="細明體" w:eastAsia="細明體" w:hAnsi="細明體" w:hint="eastAsia"/>
          <w:sz w:val="28"/>
        </w:rPr>
        <w:t>依特定目的</w:t>
      </w:r>
      <w:r>
        <w:rPr>
          <w:rFonts w:ascii="細明體" w:eastAsia="細明體" w:hAnsi="細明體"/>
          <w:sz w:val="28"/>
        </w:rPr>
        <w:t>使用或提供當事人以外之第三人</w:t>
      </w:r>
      <w:r>
        <w:rPr>
          <w:rFonts w:ascii="細明體" w:eastAsia="細明體" w:hAnsi="細明體" w:hint="eastAsia"/>
          <w:sz w:val="28"/>
        </w:rPr>
        <w:t>或單位</w:t>
      </w:r>
      <w:r>
        <w:rPr>
          <w:rFonts w:ascii="細明體" w:eastAsia="細明體" w:hAnsi="細明體"/>
          <w:sz w:val="28"/>
        </w:rPr>
        <w:t>。</w:t>
      </w:r>
    </w:p>
    <w:p w:rsidR="00000000" w:rsidRDefault="008A2E3A">
      <w:pPr>
        <w:pStyle w:val="a3"/>
        <w:spacing w:line="440" w:lineRule="exact"/>
        <w:ind w:left="1260" w:hanging="1260"/>
        <w:rPr>
          <w:rFonts w:ascii="細明體" w:eastAsia="細明體" w:hAnsi="細明體" w:hint="eastAsia"/>
          <w:sz w:val="28"/>
        </w:rPr>
      </w:pPr>
      <w:r>
        <w:rPr>
          <w:rFonts w:ascii="細明體" w:eastAsia="細明體" w:hAnsi="細明體" w:hint="eastAsia"/>
          <w:sz w:val="28"/>
        </w:rPr>
        <w:t>第十八條</w:t>
      </w:r>
      <w:r>
        <w:rPr>
          <w:rFonts w:ascii="細明體" w:eastAsia="細明體" w:hAnsi="細明體" w:hint="eastAsia"/>
          <w:sz w:val="28"/>
        </w:rPr>
        <w:t xml:space="preserve"> (</w:t>
      </w:r>
      <w:r>
        <w:rPr>
          <w:rFonts w:ascii="細明體" w:eastAsia="細明體" w:hAnsi="細明體" w:hint="eastAsia"/>
          <w:sz w:val="28"/>
        </w:rPr>
        <w:t>守密義務</w:t>
      </w:r>
      <w:r>
        <w:rPr>
          <w:rFonts w:ascii="細明體" w:eastAsia="細明體" w:hAnsi="細明體" w:hint="eastAsia"/>
          <w:sz w:val="28"/>
        </w:rPr>
        <w:t>)</w:t>
      </w:r>
    </w:p>
    <w:p w:rsidR="00000000" w:rsidRDefault="008A2E3A">
      <w:pPr>
        <w:spacing w:line="440" w:lineRule="exact"/>
        <w:ind w:left="1080"/>
        <w:rPr>
          <w:rFonts w:ascii="細明體" w:eastAsia="細明體" w:hAnsi="細明體" w:hint="eastAsia"/>
          <w:sz w:val="28"/>
        </w:rPr>
      </w:pPr>
      <w:r>
        <w:rPr>
          <w:rFonts w:ascii="細明體" w:eastAsia="細明體" w:hAnsi="細明體" w:hint="eastAsia"/>
          <w:sz w:val="28"/>
        </w:rPr>
        <w:t>網路使用者和管理者應遵守網路守密義務。有關守密規定事項如下：</w:t>
      </w:r>
      <w:r>
        <w:rPr>
          <w:rFonts w:ascii="細明體" w:eastAsia="細明體" w:hAnsi="細明體"/>
          <w:sz w:val="28"/>
        </w:rPr>
        <w:br/>
      </w:r>
      <w:r>
        <w:rPr>
          <w:rFonts w:ascii="細明體" w:eastAsia="細明體" w:hAnsi="細明體" w:hint="eastAsia"/>
          <w:sz w:val="28"/>
        </w:rPr>
        <w:t>一、個人隱私。</w:t>
      </w:r>
      <w:r>
        <w:rPr>
          <w:rFonts w:ascii="細明體" w:eastAsia="細明體" w:hAnsi="細明體"/>
          <w:sz w:val="28"/>
        </w:rPr>
        <w:br/>
      </w:r>
      <w:r>
        <w:rPr>
          <w:rFonts w:ascii="細明體" w:eastAsia="細明體" w:hAnsi="細明體" w:hint="eastAsia"/>
          <w:sz w:val="28"/>
        </w:rPr>
        <w:t>二、研究成果或職業秘密且受法定保護。</w:t>
      </w:r>
    </w:p>
    <w:p w:rsidR="00000000" w:rsidRDefault="008A2E3A">
      <w:pPr>
        <w:spacing w:line="440" w:lineRule="exact"/>
        <w:ind w:left="1080"/>
        <w:rPr>
          <w:rFonts w:ascii="細明體" w:eastAsia="細明體" w:hAnsi="細明體" w:hint="eastAsia"/>
          <w:sz w:val="28"/>
        </w:rPr>
      </w:pPr>
      <w:r>
        <w:rPr>
          <w:rFonts w:ascii="細明體" w:eastAsia="細明體" w:hAnsi="細明體" w:hint="eastAsia"/>
          <w:sz w:val="28"/>
        </w:rPr>
        <w:t>三、公務機密。</w:t>
      </w:r>
      <w:r>
        <w:rPr>
          <w:rFonts w:ascii="細明體" w:eastAsia="細明體" w:hAnsi="細明體"/>
          <w:sz w:val="28"/>
        </w:rPr>
        <w:br/>
      </w:r>
      <w:r>
        <w:rPr>
          <w:rFonts w:ascii="細明體" w:eastAsia="細明體" w:hAnsi="細明體" w:hint="eastAsia"/>
          <w:sz w:val="28"/>
        </w:rPr>
        <w:t>四、主張或維護其法</w:t>
      </w:r>
      <w:r>
        <w:rPr>
          <w:rFonts w:ascii="細明體" w:eastAsia="細明體" w:hAnsi="細明體" w:hint="eastAsia"/>
          <w:sz w:val="28"/>
        </w:rPr>
        <w:t>律上利益有必要保密者。</w:t>
      </w:r>
    </w:p>
    <w:p w:rsidR="00000000" w:rsidRDefault="008A2E3A">
      <w:pPr>
        <w:pStyle w:val="a3"/>
        <w:spacing w:line="440" w:lineRule="exact"/>
        <w:rPr>
          <w:rFonts w:ascii="細明體" w:eastAsia="細明體" w:hAnsi="細明體" w:hint="eastAsia"/>
          <w:sz w:val="28"/>
        </w:rPr>
      </w:pPr>
    </w:p>
    <w:p w:rsidR="00000000" w:rsidRDefault="008A2E3A">
      <w:pPr>
        <w:spacing w:line="440" w:lineRule="exact"/>
        <w:ind w:left="1540" w:hanging="1540"/>
        <w:rPr>
          <w:rFonts w:ascii="細明體" w:eastAsia="細明體" w:hAnsi="細明體" w:hint="eastAsia"/>
          <w:sz w:val="28"/>
        </w:rPr>
      </w:pPr>
      <w:r>
        <w:rPr>
          <w:rFonts w:ascii="細明體" w:eastAsia="細明體" w:hAnsi="細明體" w:hint="eastAsia"/>
          <w:sz w:val="28"/>
        </w:rPr>
        <w:t>第十九條（例外</w:t>
      </w:r>
      <w:r>
        <w:rPr>
          <w:rFonts w:ascii="細明體" w:eastAsia="細明體" w:hAnsi="細明體"/>
          <w:sz w:val="28"/>
        </w:rPr>
        <w:t>之利用</w:t>
      </w:r>
      <w:r>
        <w:rPr>
          <w:rFonts w:ascii="細明體" w:eastAsia="細明體" w:hAnsi="細明體" w:hint="eastAsia"/>
          <w:sz w:val="28"/>
        </w:rPr>
        <w:t>）</w:t>
      </w:r>
    </w:p>
    <w:p w:rsidR="00000000" w:rsidRDefault="008A2E3A">
      <w:pPr>
        <w:spacing w:line="440" w:lineRule="exact"/>
        <w:ind w:left="1121"/>
        <w:rPr>
          <w:rFonts w:ascii="細明體" w:eastAsia="細明體" w:hAnsi="細明體" w:hint="eastAsia"/>
          <w:sz w:val="28"/>
        </w:rPr>
      </w:pPr>
      <w:r>
        <w:rPr>
          <w:rFonts w:ascii="細明體" w:eastAsia="細明體" w:hAnsi="細明體" w:hint="eastAsia"/>
          <w:sz w:val="28"/>
        </w:rPr>
        <w:t>保有資料利用特定目的之單位和管理者，得於規定範圍內行使職權，服膺守密規定。但有下列情形之一者，不在此限：</w:t>
      </w:r>
    </w:p>
    <w:p w:rsidR="00000000" w:rsidRDefault="008A2E3A">
      <w:pPr>
        <w:pStyle w:val="a3"/>
        <w:numPr>
          <w:ilvl w:val="0"/>
          <w:numId w:val="12"/>
        </w:numPr>
        <w:spacing w:line="440" w:lineRule="exact"/>
        <w:rPr>
          <w:rFonts w:ascii="細明體" w:eastAsia="細明體" w:hAnsi="細明體" w:hint="eastAsia"/>
          <w:sz w:val="28"/>
        </w:rPr>
      </w:pPr>
      <w:r>
        <w:rPr>
          <w:rFonts w:ascii="細明體" w:eastAsia="細明體" w:hAnsi="細明體" w:hint="eastAsia"/>
          <w:sz w:val="28"/>
        </w:rPr>
        <w:t>依合理之根據，懷疑有違反本規範之情事，為取得證據或調查不當行為者。</w:t>
      </w:r>
    </w:p>
    <w:p w:rsidR="00000000" w:rsidRDefault="008A2E3A">
      <w:pPr>
        <w:pStyle w:val="a3"/>
        <w:numPr>
          <w:ilvl w:val="0"/>
          <w:numId w:val="12"/>
        </w:numPr>
        <w:spacing w:line="440" w:lineRule="exact"/>
        <w:rPr>
          <w:rFonts w:ascii="細明體" w:eastAsia="細明體" w:hAnsi="細明體" w:hint="eastAsia"/>
          <w:sz w:val="28"/>
        </w:rPr>
      </w:pPr>
      <w:r>
        <w:rPr>
          <w:rFonts w:ascii="細明體" w:eastAsia="細明體" w:hAnsi="細明體" w:hint="eastAsia"/>
          <w:sz w:val="28"/>
        </w:rPr>
        <w:t>為配合司法機關之調查者。</w:t>
      </w:r>
    </w:p>
    <w:p w:rsidR="00000000" w:rsidRDefault="008A2E3A">
      <w:pPr>
        <w:pStyle w:val="a3"/>
        <w:numPr>
          <w:ilvl w:val="0"/>
          <w:numId w:val="12"/>
        </w:numPr>
        <w:spacing w:line="440" w:lineRule="exact"/>
        <w:rPr>
          <w:rFonts w:ascii="細明體" w:eastAsia="細明體" w:hAnsi="細明體" w:hint="eastAsia"/>
          <w:sz w:val="28"/>
        </w:rPr>
      </w:pPr>
      <w:r>
        <w:rPr>
          <w:rFonts w:ascii="細明體" w:eastAsia="細明體" w:hAnsi="細明體" w:hint="eastAsia"/>
          <w:sz w:val="28"/>
        </w:rPr>
        <w:t>基於法律利益上之必要者。</w:t>
      </w:r>
    </w:p>
    <w:p w:rsidR="00000000" w:rsidRDefault="008A2E3A">
      <w:pPr>
        <w:pStyle w:val="a3"/>
        <w:numPr>
          <w:ilvl w:val="0"/>
          <w:numId w:val="12"/>
        </w:numPr>
        <w:spacing w:line="440" w:lineRule="exact"/>
        <w:rPr>
          <w:rFonts w:ascii="細明體" w:eastAsia="細明體" w:hAnsi="細明體" w:hint="eastAsia"/>
          <w:sz w:val="28"/>
        </w:rPr>
      </w:pPr>
      <w:r>
        <w:rPr>
          <w:rFonts w:ascii="細明體" w:eastAsia="細明體" w:hAnsi="細明體"/>
          <w:sz w:val="28"/>
        </w:rPr>
        <w:t>為防止他人權益之重大危害而有必要者。</w:t>
      </w:r>
    </w:p>
    <w:p w:rsidR="00000000" w:rsidRDefault="008A2E3A">
      <w:pPr>
        <w:pStyle w:val="a3"/>
        <w:numPr>
          <w:ilvl w:val="0"/>
          <w:numId w:val="12"/>
        </w:numPr>
        <w:spacing w:line="440" w:lineRule="exact"/>
        <w:rPr>
          <w:rFonts w:ascii="細明體" w:eastAsia="細明體" w:hAnsi="細明體" w:hint="eastAsia"/>
          <w:sz w:val="28"/>
        </w:rPr>
      </w:pPr>
      <w:r>
        <w:rPr>
          <w:rFonts w:ascii="細明體" w:eastAsia="細明體" w:hAnsi="細明體" w:hint="eastAsia"/>
          <w:sz w:val="28"/>
        </w:rPr>
        <w:t>其他依法令之行為者。</w:t>
      </w:r>
    </w:p>
    <w:p w:rsidR="00000000" w:rsidRDefault="008A2E3A">
      <w:pPr>
        <w:pStyle w:val="a3"/>
        <w:spacing w:line="440" w:lineRule="exact"/>
        <w:ind w:left="1080" w:firstLine="39"/>
        <w:rPr>
          <w:rFonts w:ascii="細明體" w:eastAsia="細明體" w:hAnsi="細明體" w:hint="eastAsia"/>
          <w:sz w:val="28"/>
        </w:rPr>
      </w:pPr>
      <w:r>
        <w:rPr>
          <w:rFonts w:ascii="細明體" w:eastAsia="細明體" w:hAnsi="細明體" w:hint="eastAsia"/>
          <w:sz w:val="28"/>
        </w:rPr>
        <w:t>前項第一款至第二款，其受單位或機關委託承辦之人，準用</w:t>
      </w:r>
      <w:r>
        <w:rPr>
          <w:rFonts w:ascii="細明體" w:eastAsia="細明體" w:hAnsi="細明體" w:hint="eastAsia"/>
          <w:sz w:val="28"/>
        </w:rPr>
        <w:lastRenderedPageBreak/>
        <w:t>之。</w:t>
      </w:r>
    </w:p>
    <w:p w:rsidR="00000000" w:rsidRDefault="008A2E3A">
      <w:pPr>
        <w:snapToGrid w:val="0"/>
        <w:spacing w:line="400" w:lineRule="atLeast"/>
        <w:rPr>
          <w:rFonts w:ascii="細明體" w:eastAsia="細明體" w:hAnsi="細明體" w:hint="eastAsia"/>
          <w:b/>
          <w:sz w:val="32"/>
        </w:rPr>
      </w:pPr>
      <w:r>
        <w:rPr>
          <w:rFonts w:ascii="細明體" w:eastAsia="細明體" w:hAnsi="細明體" w:hint="eastAsia"/>
          <w:b/>
          <w:sz w:val="32"/>
        </w:rPr>
        <w:t>第六章</w:t>
      </w:r>
      <w:r>
        <w:rPr>
          <w:rFonts w:ascii="細明體" w:eastAsia="細明體" w:hAnsi="細明體" w:hint="eastAsia"/>
          <w:b/>
          <w:sz w:val="32"/>
        </w:rPr>
        <w:t xml:space="preserve"> </w:t>
      </w:r>
      <w:r>
        <w:rPr>
          <w:rFonts w:ascii="細明體" w:eastAsia="細明體" w:hAnsi="細明體" w:hint="eastAsia"/>
          <w:b/>
          <w:sz w:val="32"/>
        </w:rPr>
        <w:t>獎罰與救濟</w:t>
      </w:r>
    </w:p>
    <w:p w:rsidR="00000000" w:rsidRDefault="008A2E3A">
      <w:pPr>
        <w:snapToGrid w:val="0"/>
        <w:spacing w:line="400" w:lineRule="atLeast"/>
        <w:rPr>
          <w:rFonts w:ascii="細明體" w:eastAsia="細明體" w:hAnsi="細明體" w:hint="eastAsia"/>
          <w:sz w:val="28"/>
        </w:rPr>
      </w:pPr>
      <w:r>
        <w:rPr>
          <w:rFonts w:ascii="細明體" w:eastAsia="細明體" w:hAnsi="細明體" w:hint="eastAsia"/>
          <w:sz w:val="28"/>
        </w:rPr>
        <w:t xml:space="preserve"> </w:t>
      </w:r>
    </w:p>
    <w:p w:rsidR="00000000" w:rsidRDefault="008A2E3A">
      <w:pPr>
        <w:pStyle w:val="HTML"/>
        <w:snapToGrid w:val="0"/>
        <w:spacing w:line="400" w:lineRule="atLeast"/>
        <w:ind w:left="1400" w:hanging="1400"/>
        <w:rPr>
          <w:rFonts w:ascii="細明體" w:eastAsia="細明體" w:hAnsi="細明體" w:hint="eastAsia"/>
          <w:sz w:val="28"/>
        </w:rPr>
      </w:pPr>
      <w:r>
        <w:rPr>
          <w:rFonts w:ascii="細明體" w:eastAsia="細明體" w:hAnsi="細明體" w:hint="eastAsia"/>
          <w:sz w:val="28"/>
        </w:rPr>
        <w:t>第二十條</w:t>
      </w:r>
      <w:r>
        <w:rPr>
          <w:rFonts w:ascii="細明體" w:eastAsia="細明體" w:hAnsi="細明體" w:hint="eastAsia"/>
          <w:sz w:val="28"/>
        </w:rPr>
        <w:t xml:space="preserve"> </w:t>
      </w:r>
      <w:r>
        <w:rPr>
          <w:rFonts w:ascii="細明體" w:eastAsia="細明體" w:hAnsi="細明體" w:hint="eastAsia"/>
          <w:sz w:val="28"/>
        </w:rPr>
        <w:t>（處分規定）</w:t>
      </w:r>
    </w:p>
    <w:p w:rsidR="00000000" w:rsidRDefault="008A2E3A">
      <w:pPr>
        <w:pStyle w:val="HTML"/>
        <w:snapToGrid w:val="0"/>
        <w:spacing w:line="400" w:lineRule="atLeast"/>
        <w:ind w:left="1080"/>
        <w:rPr>
          <w:rFonts w:ascii="細明體" w:eastAsia="細明體" w:hAnsi="細明體" w:hint="eastAsia"/>
          <w:sz w:val="28"/>
        </w:rPr>
      </w:pPr>
      <w:r>
        <w:rPr>
          <w:rFonts w:ascii="細明體" w:eastAsia="細明體" w:hAnsi="細明體" w:hint="eastAsia"/>
          <w:sz w:val="28"/>
        </w:rPr>
        <w:t>違反本規範之行為，其處分規定得依本規範第八條為之。</w:t>
      </w:r>
    </w:p>
    <w:p w:rsidR="00000000" w:rsidRDefault="008A2E3A">
      <w:pPr>
        <w:pStyle w:val="HTML"/>
        <w:snapToGrid w:val="0"/>
        <w:spacing w:line="400" w:lineRule="atLeast"/>
        <w:ind w:left="1080"/>
        <w:rPr>
          <w:rFonts w:ascii="細明體" w:eastAsia="細明體" w:hAnsi="細明體" w:hint="eastAsia"/>
          <w:sz w:val="28"/>
        </w:rPr>
      </w:pPr>
      <w:r>
        <w:rPr>
          <w:rFonts w:ascii="細明體" w:eastAsia="細明體" w:hAnsi="細明體" w:hint="eastAsia"/>
          <w:sz w:val="28"/>
        </w:rPr>
        <w:t>前項行為資料得利用</w:t>
      </w:r>
      <w:r>
        <w:rPr>
          <w:rFonts w:ascii="細明體" w:eastAsia="細明體" w:hAnsi="細明體" w:hint="eastAsia"/>
          <w:sz w:val="28"/>
        </w:rPr>
        <w:t>電腦建檔與處理之。</w:t>
      </w:r>
      <w:r>
        <w:rPr>
          <w:rFonts w:ascii="細明體" w:eastAsia="細明體" w:hAnsi="細明體"/>
          <w:sz w:val="28"/>
        </w:rPr>
        <w:br/>
      </w:r>
      <w:r>
        <w:rPr>
          <w:rFonts w:ascii="細明體" w:eastAsia="細明體" w:hAnsi="細明體" w:hint="eastAsia"/>
          <w:sz w:val="28"/>
        </w:rPr>
        <w:t>第一項行為如涉及違法情事，而須受司法機關調查者，其</w:t>
      </w:r>
      <w:r>
        <w:rPr>
          <w:rFonts w:ascii="細明體" w:eastAsia="細明體" w:hAnsi="細明體" w:hint="eastAsia"/>
          <w:b/>
          <w:color w:val="FF00FF"/>
          <w:sz w:val="28"/>
        </w:rPr>
        <w:t>司法調查程序，另訂</w:t>
      </w:r>
      <w:r>
        <w:rPr>
          <w:rFonts w:ascii="細明體" w:eastAsia="細明體" w:hAnsi="細明體" w:hint="eastAsia"/>
          <w:sz w:val="28"/>
        </w:rPr>
        <w:t>之。</w:t>
      </w:r>
    </w:p>
    <w:p w:rsidR="00000000" w:rsidRDefault="008A2E3A">
      <w:pPr>
        <w:pStyle w:val="HTML"/>
        <w:snapToGrid w:val="0"/>
        <w:spacing w:line="400" w:lineRule="atLeast"/>
        <w:rPr>
          <w:rFonts w:ascii="細明體" w:eastAsia="細明體" w:hAnsi="細明體"/>
          <w:sz w:val="28"/>
        </w:rPr>
      </w:pPr>
      <w:r>
        <w:rPr>
          <w:rFonts w:ascii="細明體" w:eastAsia="細明體" w:hAnsi="細明體" w:hint="eastAsia"/>
          <w:sz w:val="28"/>
        </w:rPr>
        <w:t>第二十一條（職務處分）</w:t>
      </w:r>
    </w:p>
    <w:p w:rsidR="00000000" w:rsidRDefault="008A2E3A">
      <w:pPr>
        <w:snapToGrid w:val="0"/>
        <w:spacing w:line="400" w:lineRule="atLeast"/>
        <w:ind w:left="1080"/>
        <w:rPr>
          <w:rFonts w:ascii="細明體" w:eastAsia="細明體" w:hAnsi="細明體" w:hint="eastAsia"/>
          <w:sz w:val="28"/>
        </w:rPr>
      </w:pPr>
      <w:r>
        <w:rPr>
          <w:rFonts w:ascii="細明體" w:eastAsia="細明體" w:hAnsi="細明體" w:hint="eastAsia"/>
          <w:sz w:val="28"/>
        </w:rPr>
        <w:t>利用職務之權力或其他方法，</w:t>
      </w:r>
      <w:r>
        <w:rPr>
          <w:rFonts w:ascii="細明體" w:eastAsia="細明體" w:hAnsi="細明體"/>
          <w:sz w:val="28"/>
        </w:rPr>
        <w:t>而</w:t>
      </w:r>
      <w:r>
        <w:rPr>
          <w:rFonts w:ascii="細明體" w:eastAsia="細明體" w:hAnsi="細明體" w:hint="eastAsia"/>
          <w:sz w:val="28"/>
        </w:rPr>
        <w:t>違反本規範</w:t>
      </w:r>
      <w:r>
        <w:rPr>
          <w:rFonts w:ascii="細明體" w:eastAsia="細明體" w:hAnsi="細明體"/>
          <w:sz w:val="28"/>
        </w:rPr>
        <w:t>者，</w:t>
      </w:r>
      <w:r>
        <w:rPr>
          <w:rFonts w:ascii="細明體" w:eastAsia="細明體" w:hAnsi="細明體" w:hint="eastAsia"/>
          <w:sz w:val="28"/>
        </w:rPr>
        <w:t>須受處分。</w:t>
      </w:r>
    </w:p>
    <w:p w:rsidR="00000000" w:rsidRDefault="008A2E3A">
      <w:pPr>
        <w:snapToGrid w:val="0"/>
        <w:spacing w:line="400" w:lineRule="atLeast"/>
        <w:rPr>
          <w:rFonts w:ascii="細明體" w:eastAsia="細明體" w:hAnsi="細明體" w:hint="eastAsia"/>
          <w:sz w:val="28"/>
        </w:rPr>
      </w:pPr>
      <w:r>
        <w:rPr>
          <w:rFonts w:ascii="細明體" w:eastAsia="細明體" w:hAnsi="細明體" w:hint="eastAsia"/>
          <w:sz w:val="28"/>
        </w:rPr>
        <w:t>第二十二條（獎勵規定）</w:t>
      </w:r>
    </w:p>
    <w:p w:rsidR="00000000" w:rsidRDefault="008A2E3A">
      <w:pPr>
        <w:spacing w:line="440" w:lineRule="exact"/>
        <w:ind w:left="1080"/>
        <w:rPr>
          <w:rFonts w:ascii="細明體" w:eastAsia="細明體" w:hAnsi="細明體" w:hint="eastAsia"/>
          <w:sz w:val="28"/>
        </w:rPr>
      </w:pPr>
      <w:r>
        <w:rPr>
          <w:rFonts w:ascii="細明體" w:eastAsia="細明體" w:hAnsi="細明體" w:hint="eastAsia"/>
          <w:sz w:val="28"/>
        </w:rPr>
        <w:t>凡有下列情形之一者，具體事實而成效顯著，應予適當之獎勵：</w:t>
      </w:r>
    </w:p>
    <w:p w:rsidR="00000000" w:rsidRDefault="008A2E3A">
      <w:pPr>
        <w:spacing w:line="440" w:lineRule="exact"/>
        <w:ind w:left="1080"/>
        <w:rPr>
          <w:rFonts w:ascii="細明體" w:eastAsia="細明體" w:hAnsi="細明體" w:hint="eastAsia"/>
          <w:sz w:val="28"/>
        </w:rPr>
      </w:pPr>
      <w:r>
        <w:rPr>
          <w:rFonts w:ascii="細明體" w:eastAsia="細明體" w:hAnsi="細明體" w:hint="eastAsia"/>
          <w:sz w:val="28"/>
        </w:rPr>
        <w:t>一、主動協助網路安全維護工作者。</w:t>
      </w:r>
      <w:r>
        <w:rPr>
          <w:rFonts w:ascii="細明體" w:eastAsia="細明體" w:hAnsi="細明體"/>
          <w:sz w:val="28"/>
        </w:rPr>
        <w:br/>
      </w:r>
      <w:r>
        <w:rPr>
          <w:rFonts w:ascii="細明體" w:eastAsia="細明體" w:hAnsi="細明體" w:hint="eastAsia"/>
          <w:sz w:val="28"/>
        </w:rPr>
        <w:t>二、製作程式於改善網路安全或效能者。</w:t>
      </w:r>
    </w:p>
    <w:p w:rsidR="00000000" w:rsidRDefault="008A2E3A">
      <w:pPr>
        <w:spacing w:line="440" w:lineRule="exact"/>
        <w:ind w:left="1080"/>
        <w:rPr>
          <w:rFonts w:ascii="細明體" w:eastAsia="細明體" w:hAnsi="細明體" w:hint="eastAsia"/>
          <w:sz w:val="28"/>
        </w:rPr>
      </w:pPr>
      <w:r>
        <w:rPr>
          <w:rFonts w:ascii="細明體" w:eastAsia="細明體" w:hAnsi="細明體" w:hint="eastAsia"/>
          <w:sz w:val="28"/>
        </w:rPr>
        <w:t>三、負責網路安全維護工作者。</w:t>
      </w:r>
    </w:p>
    <w:p w:rsidR="00000000" w:rsidRDefault="008A2E3A">
      <w:pPr>
        <w:spacing w:line="440" w:lineRule="exact"/>
        <w:ind w:left="1078" w:firstLine="2"/>
        <w:rPr>
          <w:rFonts w:ascii="細明體" w:eastAsia="細明體" w:hAnsi="細明體" w:hint="eastAsia"/>
          <w:sz w:val="28"/>
        </w:rPr>
      </w:pPr>
      <w:r>
        <w:rPr>
          <w:rFonts w:ascii="細明體" w:eastAsia="細明體" w:hAnsi="細明體" w:hint="eastAsia"/>
          <w:sz w:val="28"/>
        </w:rPr>
        <w:t>四、檢舉網路違規或違法者。</w:t>
      </w:r>
    </w:p>
    <w:p w:rsidR="00000000" w:rsidRDefault="008A2E3A">
      <w:pPr>
        <w:spacing w:line="440" w:lineRule="exact"/>
        <w:ind w:left="1078" w:firstLine="2"/>
        <w:rPr>
          <w:rFonts w:ascii="細明體" w:eastAsia="細明體" w:hAnsi="細明體" w:hint="eastAsia"/>
          <w:sz w:val="28"/>
        </w:rPr>
      </w:pPr>
      <w:r>
        <w:rPr>
          <w:rFonts w:ascii="細明體" w:eastAsia="細明體" w:hAnsi="細明體" w:hint="eastAsia"/>
          <w:sz w:val="28"/>
        </w:rPr>
        <w:t>五、主動調查網路流量異常、違規或違法者。</w:t>
      </w:r>
    </w:p>
    <w:p w:rsidR="00000000" w:rsidRDefault="008A2E3A">
      <w:pPr>
        <w:spacing w:line="440" w:lineRule="exact"/>
        <w:ind w:left="1078" w:firstLine="2"/>
        <w:rPr>
          <w:rFonts w:ascii="細明體" w:eastAsia="細明體" w:hAnsi="細明體" w:hint="eastAsia"/>
          <w:sz w:val="28"/>
        </w:rPr>
      </w:pPr>
      <w:r>
        <w:rPr>
          <w:rFonts w:ascii="細明體" w:eastAsia="細明體" w:hAnsi="細明體" w:hint="eastAsia"/>
          <w:sz w:val="28"/>
        </w:rPr>
        <w:t>六、有效防止網路駭客入侵、電腦病毒感染或散布。</w:t>
      </w:r>
    </w:p>
    <w:p w:rsidR="00000000" w:rsidRDefault="008A2E3A">
      <w:pPr>
        <w:spacing w:line="440" w:lineRule="exact"/>
        <w:ind w:left="1078" w:firstLine="2"/>
        <w:rPr>
          <w:rFonts w:ascii="細明體" w:eastAsia="細明體" w:hAnsi="細明體" w:hint="eastAsia"/>
          <w:sz w:val="28"/>
        </w:rPr>
      </w:pPr>
      <w:r>
        <w:rPr>
          <w:rFonts w:ascii="細明體" w:eastAsia="細明體" w:hAnsi="細明體" w:hint="eastAsia"/>
          <w:sz w:val="28"/>
        </w:rPr>
        <w:t>七、主動發覺並提供網路安全漏洞者。</w:t>
      </w:r>
      <w:r>
        <w:rPr>
          <w:rFonts w:ascii="細明體" w:eastAsia="細明體" w:hAnsi="細明體"/>
          <w:sz w:val="28"/>
        </w:rPr>
        <w:br/>
      </w:r>
      <w:r>
        <w:rPr>
          <w:rFonts w:ascii="細明體" w:eastAsia="細明體" w:hAnsi="細明體" w:hint="eastAsia"/>
          <w:sz w:val="28"/>
        </w:rPr>
        <w:t>八</w:t>
      </w:r>
      <w:r>
        <w:rPr>
          <w:rFonts w:ascii="細明體" w:eastAsia="細明體" w:hAnsi="細明體" w:hint="eastAsia"/>
          <w:sz w:val="28"/>
        </w:rPr>
        <w:t>、推動網路計畫者。</w:t>
      </w:r>
      <w:r>
        <w:rPr>
          <w:rFonts w:ascii="細明體" w:eastAsia="細明體" w:hAnsi="細明體"/>
          <w:sz w:val="28"/>
        </w:rPr>
        <w:br/>
      </w:r>
      <w:r>
        <w:rPr>
          <w:rFonts w:ascii="細明體" w:eastAsia="細明體" w:hAnsi="細明體" w:hint="eastAsia"/>
          <w:sz w:val="28"/>
        </w:rPr>
        <w:t>九、承辦或配合調查違規、違法案件者。</w:t>
      </w:r>
    </w:p>
    <w:p w:rsidR="00000000" w:rsidRDefault="008A2E3A">
      <w:pPr>
        <w:spacing w:line="440" w:lineRule="exact"/>
        <w:ind w:left="1080"/>
        <w:rPr>
          <w:rFonts w:ascii="細明體" w:eastAsia="細明體" w:hAnsi="細明體" w:hint="eastAsia"/>
          <w:sz w:val="28"/>
        </w:rPr>
      </w:pPr>
      <w:r>
        <w:rPr>
          <w:rFonts w:ascii="細明體" w:eastAsia="細明體" w:hAnsi="細明體" w:hint="eastAsia"/>
          <w:sz w:val="28"/>
        </w:rPr>
        <w:t>十、承辦網路教育訓練或法令宣導者。</w:t>
      </w:r>
    </w:p>
    <w:p w:rsidR="00000000" w:rsidRDefault="008A2E3A">
      <w:pPr>
        <w:spacing w:line="440" w:lineRule="exact"/>
        <w:ind w:left="1080"/>
        <w:rPr>
          <w:rFonts w:ascii="細明體" w:eastAsia="細明體" w:hAnsi="細明體" w:hint="eastAsia"/>
          <w:sz w:val="28"/>
        </w:rPr>
      </w:pPr>
      <w:r>
        <w:rPr>
          <w:rFonts w:ascii="細明體" w:eastAsia="細明體" w:hAnsi="細明體" w:hint="eastAsia"/>
          <w:sz w:val="28"/>
        </w:rPr>
        <w:t>十一、擔任審議、評議工作者。</w:t>
      </w:r>
    </w:p>
    <w:p w:rsidR="00000000" w:rsidRDefault="008A2E3A">
      <w:pPr>
        <w:spacing w:line="440" w:lineRule="exact"/>
        <w:ind w:left="1080"/>
        <w:rPr>
          <w:rFonts w:ascii="細明體" w:eastAsia="細明體" w:hAnsi="細明體" w:hint="eastAsia"/>
          <w:sz w:val="28"/>
        </w:rPr>
      </w:pPr>
      <w:r>
        <w:rPr>
          <w:rFonts w:ascii="細明體" w:eastAsia="細明體" w:hAnsi="細明體" w:hint="eastAsia"/>
          <w:sz w:val="28"/>
        </w:rPr>
        <w:t>十二、其他有助於網路資通安全者。</w:t>
      </w:r>
    </w:p>
    <w:p w:rsidR="00000000" w:rsidRDefault="008A2E3A">
      <w:pPr>
        <w:spacing w:line="440" w:lineRule="exact"/>
        <w:rPr>
          <w:rFonts w:ascii="細明體" w:eastAsia="細明體" w:hAnsi="細明體" w:hint="eastAsia"/>
          <w:sz w:val="28"/>
        </w:rPr>
      </w:pPr>
      <w:r>
        <w:rPr>
          <w:rFonts w:ascii="細明體" w:eastAsia="細明體" w:hAnsi="細明體" w:hint="eastAsia"/>
          <w:sz w:val="28"/>
        </w:rPr>
        <w:t>第二十三條（單位評鑑）</w:t>
      </w:r>
    </w:p>
    <w:p w:rsidR="00000000" w:rsidRDefault="008A2E3A">
      <w:pPr>
        <w:pStyle w:val="HTML"/>
        <w:spacing w:line="440" w:lineRule="exact"/>
        <w:ind w:left="1121"/>
        <w:rPr>
          <w:rFonts w:ascii="細明體" w:eastAsia="細明體" w:hAnsi="細明體" w:hint="eastAsia"/>
          <w:sz w:val="28"/>
        </w:rPr>
      </w:pPr>
      <w:r>
        <w:rPr>
          <w:rFonts w:ascii="細明體" w:eastAsia="細明體" w:hAnsi="細明體" w:hint="eastAsia"/>
          <w:sz w:val="28"/>
        </w:rPr>
        <w:t>主管機關每年得</w:t>
      </w:r>
      <w:r>
        <w:rPr>
          <w:rFonts w:ascii="細明體" w:eastAsia="細明體" w:hAnsi="細明體"/>
          <w:sz w:val="28"/>
        </w:rPr>
        <w:t>對</w:t>
      </w:r>
      <w:r>
        <w:rPr>
          <w:rFonts w:ascii="細明體" w:eastAsia="細明體" w:hAnsi="細明體" w:hint="eastAsia"/>
          <w:sz w:val="28"/>
        </w:rPr>
        <w:t>所屬網路管理或使用單位，進行網路資源使用與網路管理等評鑑事宜。對於表現</w:t>
      </w:r>
      <w:r>
        <w:rPr>
          <w:rFonts w:ascii="細明體" w:eastAsia="細明體" w:hAnsi="細明體"/>
          <w:sz w:val="28"/>
        </w:rPr>
        <w:t>優良</w:t>
      </w:r>
      <w:r>
        <w:rPr>
          <w:rFonts w:ascii="細明體" w:eastAsia="細明體" w:hAnsi="細明體" w:hint="eastAsia"/>
          <w:sz w:val="28"/>
        </w:rPr>
        <w:t>單位</w:t>
      </w:r>
      <w:r>
        <w:rPr>
          <w:rFonts w:ascii="細明體" w:eastAsia="細明體" w:hAnsi="細明體"/>
          <w:sz w:val="28"/>
        </w:rPr>
        <w:t>應予提報獎勵，</w:t>
      </w:r>
      <w:r>
        <w:rPr>
          <w:rFonts w:ascii="細明體" w:eastAsia="細明體" w:hAnsi="細明體" w:hint="eastAsia"/>
          <w:sz w:val="28"/>
        </w:rPr>
        <w:t>表現不佳、管理不當單位得要求</w:t>
      </w:r>
      <w:r>
        <w:rPr>
          <w:rFonts w:ascii="細明體" w:eastAsia="細明體" w:hAnsi="細明體"/>
          <w:sz w:val="28"/>
        </w:rPr>
        <w:t>檢討改善</w:t>
      </w:r>
      <w:r>
        <w:rPr>
          <w:rFonts w:ascii="細明體" w:eastAsia="細明體" w:hAnsi="細明體" w:hint="eastAsia"/>
          <w:sz w:val="28"/>
        </w:rPr>
        <w:t>。</w:t>
      </w:r>
    </w:p>
    <w:p w:rsidR="00000000" w:rsidRDefault="008A2E3A">
      <w:pPr>
        <w:pStyle w:val="HTML"/>
        <w:spacing w:line="440" w:lineRule="exact"/>
        <w:ind w:left="1121"/>
        <w:rPr>
          <w:rFonts w:ascii="細明體" w:eastAsia="細明體" w:hAnsi="細明體" w:hint="eastAsia"/>
          <w:sz w:val="28"/>
        </w:rPr>
      </w:pPr>
      <w:r>
        <w:rPr>
          <w:rFonts w:ascii="細明體" w:eastAsia="細明體" w:hAnsi="細明體" w:hint="eastAsia"/>
          <w:sz w:val="28"/>
        </w:rPr>
        <w:t>前項評鑑，分為</w:t>
      </w:r>
      <w:r>
        <w:rPr>
          <w:rFonts w:ascii="細明體" w:eastAsia="細明體" w:hAnsi="細明體" w:hint="eastAsia"/>
          <w:sz w:val="28"/>
        </w:rPr>
        <w:t>A</w:t>
      </w:r>
      <w:r>
        <w:rPr>
          <w:rFonts w:ascii="細明體" w:eastAsia="細明體" w:hAnsi="細明體" w:hint="eastAsia"/>
          <w:sz w:val="28"/>
        </w:rPr>
        <w:t>、</w:t>
      </w:r>
      <w:r>
        <w:rPr>
          <w:rFonts w:ascii="細明體" w:eastAsia="細明體" w:hAnsi="細明體" w:hint="eastAsia"/>
          <w:sz w:val="28"/>
        </w:rPr>
        <w:t>B</w:t>
      </w:r>
      <w:r>
        <w:rPr>
          <w:rFonts w:ascii="細明體" w:eastAsia="細明體" w:hAnsi="細明體" w:hint="eastAsia"/>
          <w:sz w:val="28"/>
        </w:rPr>
        <w:t>、</w:t>
      </w:r>
      <w:r>
        <w:rPr>
          <w:rFonts w:ascii="細明體" w:eastAsia="細明體" w:hAnsi="細明體" w:hint="eastAsia"/>
          <w:sz w:val="28"/>
        </w:rPr>
        <w:t>C</w:t>
      </w:r>
      <w:r>
        <w:rPr>
          <w:rFonts w:ascii="細明體" w:eastAsia="細明體" w:hAnsi="細明體" w:hint="eastAsia"/>
          <w:sz w:val="28"/>
        </w:rPr>
        <w:t>、</w:t>
      </w:r>
      <w:r>
        <w:rPr>
          <w:rFonts w:ascii="細明體" w:eastAsia="細明體" w:hAnsi="細明體" w:hint="eastAsia"/>
          <w:sz w:val="28"/>
        </w:rPr>
        <w:t>D</w:t>
      </w:r>
      <w:r>
        <w:rPr>
          <w:rFonts w:ascii="細明體" w:eastAsia="細明體" w:hAnsi="細明體" w:hint="eastAsia"/>
          <w:sz w:val="28"/>
        </w:rPr>
        <w:t>、</w:t>
      </w:r>
      <w:r>
        <w:rPr>
          <w:rFonts w:ascii="細明體" w:eastAsia="細明體" w:hAnsi="細明體" w:hint="eastAsia"/>
          <w:sz w:val="28"/>
        </w:rPr>
        <w:t>E</w:t>
      </w:r>
      <w:r>
        <w:rPr>
          <w:rFonts w:ascii="細明體" w:eastAsia="細明體" w:hAnsi="細明體" w:hint="eastAsia"/>
          <w:sz w:val="28"/>
        </w:rPr>
        <w:t>等五級。</w:t>
      </w:r>
      <w:r>
        <w:rPr>
          <w:rFonts w:ascii="細明體" w:eastAsia="細明體" w:hAnsi="細明體" w:hint="eastAsia"/>
          <w:sz w:val="28"/>
        </w:rPr>
        <w:t>B</w:t>
      </w:r>
      <w:r>
        <w:rPr>
          <w:rFonts w:ascii="細明體" w:eastAsia="細明體" w:hAnsi="細明體" w:hint="eastAsia"/>
          <w:sz w:val="28"/>
        </w:rPr>
        <w:t>級以上者列為優良單位，</w:t>
      </w:r>
      <w:r>
        <w:rPr>
          <w:rFonts w:ascii="細明體" w:eastAsia="細明體" w:hAnsi="細明體" w:hint="eastAsia"/>
          <w:sz w:val="28"/>
        </w:rPr>
        <w:t>D</w:t>
      </w:r>
      <w:r>
        <w:rPr>
          <w:rFonts w:ascii="細明體" w:eastAsia="細明體" w:hAnsi="細明體" w:hint="eastAsia"/>
          <w:sz w:val="28"/>
        </w:rPr>
        <w:t>級以下者列為不佳單位。</w:t>
      </w:r>
      <w:r>
        <w:rPr>
          <w:rFonts w:ascii="細明體" w:eastAsia="細明體" w:hAnsi="細明體"/>
          <w:sz w:val="28"/>
        </w:rPr>
        <w:br/>
      </w:r>
      <w:r>
        <w:rPr>
          <w:rFonts w:ascii="細明體" w:eastAsia="細明體" w:hAnsi="細明體" w:hint="eastAsia"/>
          <w:sz w:val="28"/>
        </w:rPr>
        <w:t>第一項有關網路資源使用，依本規範第二章相關規定。</w:t>
      </w:r>
    </w:p>
    <w:p w:rsidR="00000000" w:rsidRDefault="008A2E3A">
      <w:pPr>
        <w:pStyle w:val="HTML"/>
        <w:spacing w:line="440" w:lineRule="exact"/>
        <w:ind w:left="1820" w:hanging="1820"/>
        <w:rPr>
          <w:rFonts w:ascii="細明體" w:eastAsia="細明體" w:hAnsi="細明體"/>
          <w:sz w:val="28"/>
        </w:rPr>
      </w:pPr>
      <w:r>
        <w:rPr>
          <w:rFonts w:ascii="細明體" w:eastAsia="細明體" w:hAnsi="細明體" w:hint="eastAsia"/>
          <w:sz w:val="28"/>
        </w:rPr>
        <w:lastRenderedPageBreak/>
        <w:t>第二十四條（申訴及救濟程序）</w:t>
      </w:r>
    </w:p>
    <w:p w:rsidR="00000000" w:rsidRDefault="008A2E3A">
      <w:pPr>
        <w:snapToGrid w:val="0"/>
        <w:spacing w:line="440" w:lineRule="exact"/>
        <w:ind w:left="1121"/>
        <w:jc w:val="both"/>
        <w:rPr>
          <w:rFonts w:ascii="細明體" w:eastAsia="細明體" w:hAnsi="細明體" w:hint="eastAsia"/>
          <w:sz w:val="28"/>
        </w:rPr>
      </w:pPr>
      <w:r>
        <w:rPr>
          <w:rFonts w:ascii="細明體" w:eastAsia="細明體" w:hAnsi="細明體" w:hint="eastAsia"/>
          <w:sz w:val="28"/>
        </w:rPr>
        <w:t>違反本規範而</w:t>
      </w:r>
      <w:r>
        <w:rPr>
          <w:rFonts w:ascii="細明體" w:eastAsia="細明體" w:hAnsi="細明體" w:hint="eastAsia"/>
          <w:sz w:val="28"/>
        </w:rPr>
        <w:t>受處分或權益受侵害之當事人，其救濟程序得依兩階段為之。</w:t>
      </w:r>
      <w:r>
        <w:rPr>
          <w:rFonts w:ascii="細明體" w:eastAsia="細明體" w:hAnsi="細明體" w:hint="eastAsia"/>
          <w:sz w:val="28"/>
        </w:rPr>
        <w:t xml:space="preserve"> </w:t>
      </w:r>
    </w:p>
    <w:p w:rsidR="00000000" w:rsidRDefault="008A2E3A">
      <w:pPr>
        <w:pStyle w:val="3"/>
        <w:rPr>
          <w:rFonts w:ascii="細明體" w:eastAsia="細明體" w:hAnsi="細明體" w:hint="eastAsia"/>
        </w:rPr>
      </w:pPr>
      <w:r>
        <w:rPr>
          <w:rFonts w:hint="eastAsia"/>
        </w:rPr>
        <w:t>第一階段應於決定之日起十四日內向原處分單位提出申訴</w:t>
      </w:r>
      <w:r>
        <w:rPr>
          <w:rFonts w:ascii="細明體" w:eastAsia="細明體" w:hAnsi="細明體" w:hint="eastAsia"/>
        </w:rPr>
        <w:t>。</w:t>
      </w:r>
      <w:r>
        <w:rPr>
          <w:rFonts w:hint="eastAsia"/>
        </w:rPr>
        <w:t>原處分單位自收受申訴書之日起十五日內以決定書回覆之。</w:t>
      </w:r>
    </w:p>
    <w:p w:rsidR="00000000" w:rsidRDefault="008A2E3A">
      <w:pPr>
        <w:pStyle w:val="3"/>
        <w:rPr>
          <w:rFonts w:ascii="細明體" w:eastAsia="細明體" w:hAnsi="細明體" w:hint="eastAsia"/>
        </w:rPr>
      </w:pPr>
      <w:r>
        <w:rPr>
          <w:rFonts w:ascii="新細明體" w:hAnsi="新細明體" w:hint="eastAsia"/>
        </w:rPr>
        <w:t>如不服前項所為之決定，應於收受處分書起七日內</w:t>
      </w:r>
      <w:r>
        <w:rPr>
          <w:rFonts w:ascii="細明體" w:eastAsia="細明體" w:hAnsi="細明體" w:hint="eastAsia"/>
        </w:rPr>
        <w:t>向所屬區域網路中心或縣市教育網路中心網路管理委員會提出再申訴。該屬網路管理委員會應自收受申訴書之日起十五日內以決定書回覆之。</w:t>
      </w:r>
    </w:p>
    <w:p w:rsidR="00000000" w:rsidRDefault="008A2E3A">
      <w:pPr>
        <w:pStyle w:val="3"/>
        <w:rPr>
          <w:rFonts w:ascii="細明體" w:eastAsia="細明體" w:hAnsi="細明體" w:hint="eastAsia"/>
        </w:rPr>
      </w:pPr>
    </w:p>
    <w:p w:rsidR="00000000" w:rsidRDefault="008A2E3A">
      <w:pPr>
        <w:snapToGrid w:val="0"/>
        <w:spacing w:line="440" w:lineRule="exact"/>
        <w:jc w:val="both"/>
        <w:rPr>
          <w:rFonts w:ascii="細明體" w:eastAsia="細明體" w:hAnsi="細明體" w:hint="eastAsia"/>
          <w:sz w:val="28"/>
        </w:rPr>
      </w:pPr>
      <w:r>
        <w:rPr>
          <w:rFonts w:ascii="細明體" w:eastAsia="細明體" w:hAnsi="細明體" w:hint="eastAsia"/>
          <w:sz w:val="28"/>
        </w:rPr>
        <w:t>第二十五條（施行日期）</w:t>
      </w:r>
    </w:p>
    <w:p w:rsidR="008A2E3A" w:rsidRDefault="008A2E3A">
      <w:pPr>
        <w:snapToGrid w:val="0"/>
        <w:spacing w:line="440" w:lineRule="exact"/>
        <w:jc w:val="both"/>
        <w:rPr>
          <w:rFonts w:ascii="細明體" w:eastAsia="細明體" w:hAnsi="細明體" w:hint="eastAsia"/>
          <w:sz w:val="28"/>
        </w:rPr>
      </w:pPr>
      <w:r>
        <w:rPr>
          <w:rFonts w:ascii="細明體" w:eastAsia="細明體" w:hAnsi="細明體" w:hint="eastAsia"/>
          <w:sz w:val="28"/>
        </w:rPr>
        <w:t xml:space="preserve">        </w:t>
      </w:r>
      <w:r>
        <w:rPr>
          <w:rFonts w:ascii="細明體" w:eastAsia="細明體" w:hAnsi="細明體" w:hint="eastAsia"/>
          <w:sz w:val="28"/>
        </w:rPr>
        <w:t>本規範自公布日施行。</w:t>
      </w:r>
    </w:p>
    <w:sectPr w:rsidR="008A2E3A">
      <w:footerReference w:type="even" r:id="rId7"/>
      <w:footerReference w:type="default" r:id="rId8"/>
      <w:pgSz w:w="11906" w:h="16838"/>
      <w:pgMar w:top="1440" w:right="1800" w:bottom="1440" w:left="1800" w:header="851" w:footer="992" w:gutter="0"/>
      <w:pgNumType w:start="1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3A" w:rsidRDefault="008A2E3A">
      <w:r>
        <w:separator/>
      </w:r>
    </w:p>
  </w:endnote>
  <w:endnote w:type="continuationSeparator" w:id="0">
    <w:p w:rsidR="008A2E3A" w:rsidRDefault="008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A2E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8A2E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A2E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E6675">
      <w:rPr>
        <w:rStyle w:val="a6"/>
        <w:noProof/>
      </w:rPr>
      <w:t>113</w:t>
    </w:r>
    <w:r>
      <w:rPr>
        <w:rStyle w:val="a6"/>
      </w:rPr>
      <w:fldChar w:fldCharType="end"/>
    </w:r>
  </w:p>
  <w:p w:rsidR="00000000" w:rsidRDefault="008A2E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3A" w:rsidRDefault="008A2E3A">
      <w:r>
        <w:separator/>
      </w:r>
    </w:p>
  </w:footnote>
  <w:footnote w:type="continuationSeparator" w:id="0">
    <w:p w:rsidR="008A2E3A" w:rsidRDefault="008A2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E16"/>
    <w:multiLevelType w:val="hybridMultilevel"/>
    <w:tmpl w:val="EF982880"/>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082690"/>
    <w:multiLevelType w:val="hybridMultilevel"/>
    <w:tmpl w:val="CD20CD2C"/>
    <w:lvl w:ilvl="0">
      <w:start w:val="1"/>
      <w:numFmt w:val="taiwaneseCountingThousand"/>
      <w:lvlText w:val="%1、"/>
      <w:lvlJc w:val="left"/>
      <w:pPr>
        <w:tabs>
          <w:tab w:val="num" w:pos="1995"/>
        </w:tabs>
        <w:ind w:left="1995" w:hanging="720"/>
      </w:pPr>
      <w:rPr>
        <w:rFonts w:hint="eastAsia"/>
      </w:rPr>
    </w:lvl>
    <w:lvl w:ilvl="1" w:tentative="1">
      <w:start w:val="1"/>
      <w:numFmt w:val="ideographTraditional"/>
      <w:lvlText w:val="%2、"/>
      <w:lvlJc w:val="left"/>
      <w:pPr>
        <w:tabs>
          <w:tab w:val="num" w:pos="2235"/>
        </w:tabs>
        <w:ind w:left="2235" w:hanging="480"/>
      </w:pPr>
    </w:lvl>
    <w:lvl w:ilvl="2" w:tentative="1">
      <w:start w:val="1"/>
      <w:numFmt w:val="lowerRoman"/>
      <w:lvlText w:val="%3."/>
      <w:lvlJc w:val="right"/>
      <w:pPr>
        <w:tabs>
          <w:tab w:val="num" w:pos="2715"/>
        </w:tabs>
        <w:ind w:left="2715" w:hanging="480"/>
      </w:pPr>
    </w:lvl>
    <w:lvl w:ilvl="3" w:tentative="1">
      <w:start w:val="1"/>
      <w:numFmt w:val="decimal"/>
      <w:lvlText w:val="%4."/>
      <w:lvlJc w:val="left"/>
      <w:pPr>
        <w:tabs>
          <w:tab w:val="num" w:pos="3195"/>
        </w:tabs>
        <w:ind w:left="3195" w:hanging="480"/>
      </w:pPr>
    </w:lvl>
    <w:lvl w:ilvl="4" w:tentative="1">
      <w:start w:val="1"/>
      <w:numFmt w:val="ideographTraditional"/>
      <w:lvlText w:val="%5、"/>
      <w:lvlJc w:val="left"/>
      <w:pPr>
        <w:tabs>
          <w:tab w:val="num" w:pos="3675"/>
        </w:tabs>
        <w:ind w:left="3675" w:hanging="480"/>
      </w:pPr>
    </w:lvl>
    <w:lvl w:ilvl="5" w:tentative="1">
      <w:start w:val="1"/>
      <w:numFmt w:val="lowerRoman"/>
      <w:lvlText w:val="%6."/>
      <w:lvlJc w:val="right"/>
      <w:pPr>
        <w:tabs>
          <w:tab w:val="num" w:pos="4155"/>
        </w:tabs>
        <w:ind w:left="4155" w:hanging="480"/>
      </w:pPr>
    </w:lvl>
    <w:lvl w:ilvl="6" w:tentative="1">
      <w:start w:val="1"/>
      <w:numFmt w:val="decimal"/>
      <w:lvlText w:val="%7."/>
      <w:lvlJc w:val="left"/>
      <w:pPr>
        <w:tabs>
          <w:tab w:val="num" w:pos="4635"/>
        </w:tabs>
        <w:ind w:left="4635" w:hanging="480"/>
      </w:pPr>
    </w:lvl>
    <w:lvl w:ilvl="7" w:tentative="1">
      <w:start w:val="1"/>
      <w:numFmt w:val="ideographTraditional"/>
      <w:lvlText w:val="%8、"/>
      <w:lvlJc w:val="left"/>
      <w:pPr>
        <w:tabs>
          <w:tab w:val="num" w:pos="5115"/>
        </w:tabs>
        <w:ind w:left="5115" w:hanging="480"/>
      </w:pPr>
    </w:lvl>
    <w:lvl w:ilvl="8" w:tentative="1">
      <w:start w:val="1"/>
      <w:numFmt w:val="lowerRoman"/>
      <w:lvlText w:val="%9."/>
      <w:lvlJc w:val="right"/>
      <w:pPr>
        <w:tabs>
          <w:tab w:val="num" w:pos="5595"/>
        </w:tabs>
        <w:ind w:left="5595" w:hanging="480"/>
      </w:pPr>
    </w:lvl>
  </w:abstractNum>
  <w:abstractNum w:abstractNumId="2" w15:restartNumberingAfterBreak="0">
    <w:nsid w:val="15A75A7F"/>
    <w:multiLevelType w:val="hybridMultilevel"/>
    <w:tmpl w:val="E0BE6B26"/>
    <w:lvl w:ilvl="0">
      <w:start w:val="1"/>
      <w:numFmt w:val="taiwaneseCountingThousand"/>
      <w:lvlText w:val="第%1章"/>
      <w:lvlJc w:val="left"/>
      <w:pPr>
        <w:tabs>
          <w:tab w:val="num" w:pos="840"/>
        </w:tabs>
        <w:ind w:left="840" w:hanging="84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16EF1538"/>
    <w:multiLevelType w:val="hybridMultilevel"/>
    <w:tmpl w:val="09009684"/>
    <w:lvl w:ilvl="0">
      <w:start w:val="4"/>
      <w:numFmt w:val="taiwaneseCountingThousand"/>
      <w:lvlText w:val="第%1章"/>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197C6E84"/>
    <w:multiLevelType w:val="hybridMultilevel"/>
    <w:tmpl w:val="0BF2BB16"/>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48446F"/>
    <w:multiLevelType w:val="hybridMultilevel"/>
    <w:tmpl w:val="0ED417C6"/>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661E71"/>
    <w:multiLevelType w:val="hybridMultilevel"/>
    <w:tmpl w:val="957AFCCE"/>
    <w:lvl w:ilvl="0">
      <w:start w:val="1"/>
      <w:numFmt w:val="taiwaneseCountingThousand"/>
      <w:lvlText w:val="%1、"/>
      <w:lvlJc w:val="left"/>
      <w:pPr>
        <w:tabs>
          <w:tab w:val="num" w:pos="1841"/>
        </w:tabs>
        <w:ind w:left="1841" w:hanging="720"/>
      </w:pPr>
      <w:rPr>
        <w:rFonts w:hint="eastAsia"/>
      </w:rPr>
    </w:lvl>
    <w:lvl w:ilvl="1" w:tentative="1">
      <w:start w:val="1"/>
      <w:numFmt w:val="ideographTraditional"/>
      <w:lvlText w:val="%2、"/>
      <w:lvlJc w:val="left"/>
      <w:pPr>
        <w:tabs>
          <w:tab w:val="num" w:pos="2081"/>
        </w:tabs>
        <w:ind w:left="2081" w:hanging="480"/>
      </w:pPr>
    </w:lvl>
    <w:lvl w:ilvl="2" w:tentative="1">
      <w:start w:val="1"/>
      <w:numFmt w:val="lowerRoman"/>
      <w:lvlText w:val="%3."/>
      <w:lvlJc w:val="right"/>
      <w:pPr>
        <w:tabs>
          <w:tab w:val="num" w:pos="2561"/>
        </w:tabs>
        <w:ind w:left="2561" w:hanging="480"/>
      </w:pPr>
    </w:lvl>
    <w:lvl w:ilvl="3" w:tentative="1">
      <w:start w:val="1"/>
      <w:numFmt w:val="decimal"/>
      <w:lvlText w:val="%4."/>
      <w:lvlJc w:val="left"/>
      <w:pPr>
        <w:tabs>
          <w:tab w:val="num" w:pos="3041"/>
        </w:tabs>
        <w:ind w:left="3041" w:hanging="480"/>
      </w:pPr>
    </w:lvl>
    <w:lvl w:ilvl="4" w:tentative="1">
      <w:start w:val="1"/>
      <w:numFmt w:val="ideographTraditional"/>
      <w:lvlText w:val="%5、"/>
      <w:lvlJc w:val="left"/>
      <w:pPr>
        <w:tabs>
          <w:tab w:val="num" w:pos="3521"/>
        </w:tabs>
        <w:ind w:left="3521" w:hanging="480"/>
      </w:pPr>
    </w:lvl>
    <w:lvl w:ilvl="5" w:tentative="1">
      <w:start w:val="1"/>
      <w:numFmt w:val="lowerRoman"/>
      <w:lvlText w:val="%6."/>
      <w:lvlJc w:val="right"/>
      <w:pPr>
        <w:tabs>
          <w:tab w:val="num" w:pos="4001"/>
        </w:tabs>
        <w:ind w:left="4001" w:hanging="480"/>
      </w:pPr>
    </w:lvl>
    <w:lvl w:ilvl="6" w:tentative="1">
      <w:start w:val="1"/>
      <w:numFmt w:val="decimal"/>
      <w:lvlText w:val="%7."/>
      <w:lvlJc w:val="left"/>
      <w:pPr>
        <w:tabs>
          <w:tab w:val="num" w:pos="4481"/>
        </w:tabs>
        <w:ind w:left="4481" w:hanging="480"/>
      </w:pPr>
    </w:lvl>
    <w:lvl w:ilvl="7" w:tentative="1">
      <w:start w:val="1"/>
      <w:numFmt w:val="ideographTraditional"/>
      <w:lvlText w:val="%8、"/>
      <w:lvlJc w:val="left"/>
      <w:pPr>
        <w:tabs>
          <w:tab w:val="num" w:pos="4961"/>
        </w:tabs>
        <w:ind w:left="4961" w:hanging="480"/>
      </w:pPr>
    </w:lvl>
    <w:lvl w:ilvl="8" w:tentative="1">
      <w:start w:val="1"/>
      <w:numFmt w:val="lowerRoman"/>
      <w:lvlText w:val="%9."/>
      <w:lvlJc w:val="right"/>
      <w:pPr>
        <w:tabs>
          <w:tab w:val="num" w:pos="5441"/>
        </w:tabs>
        <w:ind w:left="5441" w:hanging="480"/>
      </w:pPr>
    </w:lvl>
  </w:abstractNum>
  <w:abstractNum w:abstractNumId="7" w15:restartNumberingAfterBreak="0">
    <w:nsid w:val="253B72C8"/>
    <w:multiLevelType w:val="hybridMultilevel"/>
    <w:tmpl w:val="7B90A0C4"/>
    <w:lvl w:ilvl="0">
      <w:start w:val="6"/>
      <w:numFmt w:val="taiwaneseCountingThousand"/>
      <w:lvlText w:val="第%1章"/>
      <w:lvlJc w:val="left"/>
      <w:pPr>
        <w:tabs>
          <w:tab w:val="num" w:pos="840"/>
        </w:tabs>
        <w:ind w:left="840" w:hanging="84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274E2241"/>
    <w:multiLevelType w:val="hybridMultilevel"/>
    <w:tmpl w:val="62CCBB2E"/>
    <w:lvl w:ilvl="0">
      <w:start w:val="1"/>
      <w:numFmt w:val="taiwaneseCountingThousand"/>
      <w:lvlText w:val="%1、"/>
      <w:lvlJc w:val="left"/>
      <w:pPr>
        <w:tabs>
          <w:tab w:val="num" w:pos="1995"/>
        </w:tabs>
        <w:ind w:left="1995" w:hanging="720"/>
      </w:pPr>
      <w:rPr>
        <w:rFonts w:hint="eastAsia"/>
      </w:rPr>
    </w:lvl>
    <w:lvl w:ilvl="1" w:tentative="1">
      <w:start w:val="1"/>
      <w:numFmt w:val="ideographTraditional"/>
      <w:lvlText w:val="%2、"/>
      <w:lvlJc w:val="left"/>
      <w:pPr>
        <w:tabs>
          <w:tab w:val="num" w:pos="2235"/>
        </w:tabs>
        <w:ind w:left="2235" w:hanging="480"/>
      </w:pPr>
    </w:lvl>
    <w:lvl w:ilvl="2" w:tentative="1">
      <w:start w:val="1"/>
      <w:numFmt w:val="lowerRoman"/>
      <w:lvlText w:val="%3."/>
      <w:lvlJc w:val="right"/>
      <w:pPr>
        <w:tabs>
          <w:tab w:val="num" w:pos="2715"/>
        </w:tabs>
        <w:ind w:left="2715" w:hanging="480"/>
      </w:pPr>
    </w:lvl>
    <w:lvl w:ilvl="3" w:tentative="1">
      <w:start w:val="1"/>
      <w:numFmt w:val="decimal"/>
      <w:lvlText w:val="%4."/>
      <w:lvlJc w:val="left"/>
      <w:pPr>
        <w:tabs>
          <w:tab w:val="num" w:pos="3195"/>
        </w:tabs>
        <w:ind w:left="3195" w:hanging="480"/>
      </w:pPr>
    </w:lvl>
    <w:lvl w:ilvl="4" w:tentative="1">
      <w:start w:val="1"/>
      <w:numFmt w:val="ideographTraditional"/>
      <w:lvlText w:val="%5、"/>
      <w:lvlJc w:val="left"/>
      <w:pPr>
        <w:tabs>
          <w:tab w:val="num" w:pos="3675"/>
        </w:tabs>
        <w:ind w:left="3675" w:hanging="480"/>
      </w:pPr>
    </w:lvl>
    <w:lvl w:ilvl="5" w:tentative="1">
      <w:start w:val="1"/>
      <w:numFmt w:val="lowerRoman"/>
      <w:lvlText w:val="%6."/>
      <w:lvlJc w:val="right"/>
      <w:pPr>
        <w:tabs>
          <w:tab w:val="num" w:pos="4155"/>
        </w:tabs>
        <w:ind w:left="4155" w:hanging="480"/>
      </w:pPr>
    </w:lvl>
    <w:lvl w:ilvl="6" w:tentative="1">
      <w:start w:val="1"/>
      <w:numFmt w:val="decimal"/>
      <w:lvlText w:val="%7."/>
      <w:lvlJc w:val="left"/>
      <w:pPr>
        <w:tabs>
          <w:tab w:val="num" w:pos="4635"/>
        </w:tabs>
        <w:ind w:left="4635" w:hanging="480"/>
      </w:pPr>
    </w:lvl>
    <w:lvl w:ilvl="7" w:tentative="1">
      <w:start w:val="1"/>
      <w:numFmt w:val="ideographTraditional"/>
      <w:lvlText w:val="%8、"/>
      <w:lvlJc w:val="left"/>
      <w:pPr>
        <w:tabs>
          <w:tab w:val="num" w:pos="5115"/>
        </w:tabs>
        <w:ind w:left="5115" w:hanging="480"/>
      </w:pPr>
    </w:lvl>
    <w:lvl w:ilvl="8" w:tentative="1">
      <w:start w:val="1"/>
      <w:numFmt w:val="lowerRoman"/>
      <w:lvlText w:val="%9."/>
      <w:lvlJc w:val="right"/>
      <w:pPr>
        <w:tabs>
          <w:tab w:val="num" w:pos="5595"/>
        </w:tabs>
        <w:ind w:left="5595" w:hanging="480"/>
      </w:pPr>
    </w:lvl>
  </w:abstractNum>
  <w:abstractNum w:abstractNumId="9" w15:restartNumberingAfterBreak="0">
    <w:nsid w:val="35CD338A"/>
    <w:multiLevelType w:val="hybridMultilevel"/>
    <w:tmpl w:val="D8466D14"/>
    <w:lvl w:ilvl="0">
      <w:start w:val="1"/>
      <w:numFmt w:val="taiwaneseCountingThousand"/>
      <w:lvlText w:val="第%1章"/>
      <w:lvlJc w:val="left"/>
      <w:pPr>
        <w:tabs>
          <w:tab w:val="num" w:pos="990"/>
        </w:tabs>
        <w:ind w:left="990" w:hanging="99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0" w15:restartNumberingAfterBreak="0">
    <w:nsid w:val="5EB3466D"/>
    <w:multiLevelType w:val="hybridMultilevel"/>
    <w:tmpl w:val="D67CE2F8"/>
    <w:lvl w:ilvl="0">
      <w:start w:val="1"/>
      <w:numFmt w:val="taiwaneseCountingThousand"/>
      <w:lvlText w:val="%1、"/>
      <w:lvlJc w:val="left"/>
      <w:pPr>
        <w:tabs>
          <w:tab w:val="num" w:pos="1841"/>
        </w:tabs>
        <w:ind w:left="1841" w:hanging="720"/>
      </w:pPr>
      <w:rPr>
        <w:rFonts w:hint="eastAsia"/>
      </w:rPr>
    </w:lvl>
    <w:lvl w:ilvl="1" w:tentative="1">
      <w:start w:val="1"/>
      <w:numFmt w:val="ideographTraditional"/>
      <w:lvlText w:val="%2、"/>
      <w:lvlJc w:val="left"/>
      <w:pPr>
        <w:tabs>
          <w:tab w:val="num" w:pos="2081"/>
        </w:tabs>
        <w:ind w:left="2081" w:hanging="480"/>
      </w:pPr>
    </w:lvl>
    <w:lvl w:ilvl="2" w:tentative="1">
      <w:start w:val="1"/>
      <w:numFmt w:val="lowerRoman"/>
      <w:lvlText w:val="%3."/>
      <w:lvlJc w:val="right"/>
      <w:pPr>
        <w:tabs>
          <w:tab w:val="num" w:pos="2561"/>
        </w:tabs>
        <w:ind w:left="2561" w:hanging="480"/>
      </w:pPr>
    </w:lvl>
    <w:lvl w:ilvl="3" w:tentative="1">
      <w:start w:val="1"/>
      <w:numFmt w:val="decimal"/>
      <w:lvlText w:val="%4."/>
      <w:lvlJc w:val="left"/>
      <w:pPr>
        <w:tabs>
          <w:tab w:val="num" w:pos="3041"/>
        </w:tabs>
        <w:ind w:left="3041" w:hanging="480"/>
      </w:pPr>
    </w:lvl>
    <w:lvl w:ilvl="4" w:tentative="1">
      <w:start w:val="1"/>
      <w:numFmt w:val="ideographTraditional"/>
      <w:lvlText w:val="%5、"/>
      <w:lvlJc w:val="left"/>
      <w:pPr>
        <w:tabs>
          <w:tab w:val="num" w:pos="3521"/>
        </w:tabs>
        <w:ind w:left="3521" w:hanging="480"/>
      </w:pPr>
    </w:lvl>
    <w:lvl w:ilvl="5" w:tentative="1">
      <w:start w:val="1"/>
      <w:numFmt w:val="lowerRoman"/>
      <w:lvlText w:val="%6."/>
      <w:lvlJc w:val="right"/>
      <w:pPr>
        <w:tabs>
          <w:tab w:val="num" w:pos="4001"/>
        </w:tabs>
        <w:ind w:left="4001" w:hanging="480"/>
      </w:pPr>
    </w:lvl>
    <w:lvl w:ilvl="6" w:tentative="1">
      <w:start w:val="1"/>
      <w:numFmt w:val="decimal"/>
      <w:lvlText w:val="%7."/>
      <w:lvlJc w:val="left"/>
      <w:pPr>
        <w:tabs>
          <w:tab w:val="num" w:pos="4481"/>
        </w:tabs>
        <w:ind w:left="4481" w:hanging="480"/>
      </w:pPr>
    </w:lvl>
    <w:lvl w:ilvl="7" w:tentative="1">
      <w:start w:val="1"/>
      <w:numFmt w:val="ideographTraditional"/>
      <w:lvlText w:val="%8、"/>
      <w:lvlJc w:val="left"/>
      <w:pPr>
        <w:tabs>
          <w:tab w:val="num" w:pos="4961"/>
        </w:tabs>
        <w:ind w:left="4961" w:hanging="480"/>
      </w:pPr>
    </w:lvl>
    <w:lvl w:ilvl="8" w:tentative="1">
      <w:start w:val="1"/>
      <w:numFmt w:val="lowerRoman"/>
      <w:lvlText w:val="%9."/>
      <w:lvlJc w:val="right"/>
      <w:pPr>
        <w:tabs>
          <w:tab w:val="num" w:pos="5441"/>
        </w:tabs>
        <w:ind w:left="5441" w:hanging="480"/>
      </w:pPr>
    </w:lvl>
  </w:abstractNum>
  <w:abstractNum w:abstractNumId="11" w15:restartNumberingAfterBreak="0">
    <w:nsid w:val="71424250"/>
    <w:multiLevelType w:val="hybridMultilevel"/>
    <w:tmpl w:val="5290D4E6"/>
    <w:lvl w:ilvl="0">
      <w:start w:val="6"/>
      <w:numFmt w:val="taiwaneseCountingThousand"/>
      <w:lvlText w:val="第%1章"/>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2"/>
  </w:num>
  <w:num w:numId="8">
    <w:abstractNumId w:val="10"/>
  </w:num>
  <w:num w:numId="9">
    <w:abstractNumId w:val="1"/>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5"/>
    <w:rsid w:val="008A2E3A"/>
    <w:rsid w:val="00AE66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6A4DE0-EF20-4AD7-9CBE-0B013B53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entury"/>
      <w:kern w:val="0"/>
      <w:sz w:val="20"/>
      <w:szCs w:val="20"/>
    </w:rPr>
  </w:style>
  <w:style w:type="paragraph" w:styleId="a3">
    <w:name w:val="Body Text"/>
    <w:basedOn w:val="a"/>
    <w:semiHidden/>
    <w:pPr>
      <w:snapToGrid w:val="0"/>
      <w:spacing w:line="220" w:lineRule="exact"/>
      <w:jc w:val="both"/>
    </w:pPr>
  </w:style>
  <w:style w:type="paragraph" w:styleId="2">
    <w:name w:val="Body Text 2"/>
    <w:basedOn w:val="a"/>
    <w:semiHidden/>
    <w:pPr>
      <w:spacing w:after="120" w:line="480" w:lineRule="auto"/>
    </w:pPr>
  </w:style>
  <w:style w:type="paragraph" w:styleId="a4">
    <w:name w:val="Body Text Indent"/>
    <w:basedOn w:val="a"/>
    <w:semiHidden/>
    <w:pPr>
      <w:tabs>
        <w:tab w:val="left" w:pos="1080"/>
        <w:tab w:val="left" w:pos="1260"/>
        <w:tab w:val="left" w:pos="1440"/>
        <w:tab w:val="left" w:pos="1620"/>
      </w:tabs>
      <w:snapToGrid w:val="0"/>
      <w:spacing w:line="440" w:lineRule="exact"/>
      <w:ind w:leftChars="467" w:left="1681" w:hangingChars="200" w:hanging="560"/>
      <w:jc w:val="both"/>
    </w:pPr>
    <w:rPr>
      <w:sz w:val="28"/>
      <w:szCs w:val="28"/>
    </w:rPr>
  </w:style>
  <w:style w:type="paragraph" w:styleId="20">
    <w:name w:val="Body Text Indent 2"/>
    <w:basedOn w:val="a"/>
    <w:semiHidden/>
    <w:pPr>
      <w:snapToGrid w:val="0"/>
      <w:spacing w:line="440" w:lineRule="exact"/>
      <w:ind w:leftChars="701" w:left="1682"/>
      <w:jc w:val="both"/>
    </w:pPr>
    <w:rPr>
      <w:sz w:val="28"/>
      <w:szCs w:val="28"/>
    </w:rPr>
  </w:style>
  <w:style w:type="paragraph" w:styleId="3">
    <w:name w:val="Body Text Indent 3"/>
    <w:basedOn w:val="a"/>
    <w:semiHidden/>
    <w:pPr>
      <w:snapToGrid w:val="0"/>
      <w:spacing w:line="440" w:lineRule="exact"/>
      <w:ind w:leftChars="524" w:left="1259" w:hanging="1"/>
      <w:jc w:val="both"/>
    </w:pPr>
    <w:rPr>
      <w:sz w:val="28"/>
      <w:szCs w:val="28"/>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526</Words>
  <Characters>3001</Characters>
  <Application>Microsoft Office Word</Application>
  <DocSecurity>0</DocSecurity>
  <Lines>25</Lines>
  <Paragraphs>7</Paragraphs>
  <ScaleCrop>false</ScaleCrop>
  <Company>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台灣學術網路規範草案大綱</dc:title>
  <dc:subject/>
  <dc:creator>葉芙榮</dc:creator>
  <cp:keywords/>
  <dc:description/>
  <cp:lastModifiedBy>葉芙榮</cp:lastModifiedBy>
  <cp:revision>2</cp:revision>
  <cp:lastPrinted>2004-03-10T07:45:00Z</cp:lastPrinted>
  <dcterms:created xsi:type="dcterms:W3CDTF">2017-07-13T03:32:00Z</dcterms:created>
  <dcterms:modified xsi:type="dcterms:W3CDTF">2017-07-13T03:32:00Z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-1049317825</vt:i4>
  </property>
  <property fmtid="{D5CDD505-2E9C-101B-9397-08002B2CF9AE}" pid="3" name="_EmailSubject">
    <vt:lpwstr>文彬</vt:lpwstr>
  </property>
  <property fmtid="{D5CDD505-2E9C-101B-9397-08002B2CF9AE}" pid="4" name="_AuthorEmail">
    <vt:lpwstr>411131@ems.hccg.gov.tw</vt:lpwstr>
  </property>
  <property fmtid="{D5CDD505-2E9C-101B-9397-08002B2CF9AE}" pid="5" name="_AuthorEmailDisplayName">
    <vt:lpwstr>段定宇</vt:lpwstr>
  </property>
  <property fmtid="{D5CDD505-2E9C-101B-9397-08002B2CF9AE}" pid="6" name="_ReviewingToolsShownOnce">
    <vt:lpwstr/>
  </property>
</Properties>
</file>