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989" w:rsidRPr="00842989" w:rsidRDefault="00842989" w:rsidP="00842989">
      <w:pPr>
        <w:widowControl/>
        <w:pBdr>
          <w:top w:val="nil"/>
          <w:left w:val="nil"/>
          <w:bottom w:val="nil"/>
          <w:right w:val="nil"/>
          <w:between w:val="nil"/>
          <w:bar w:val="nil"/>
        </w:pBdr>
        <w:spacing w:line="480" w:lineRule="exact"/>
        <w:rPr>
          <w:rFonts w:ascii="標楷體" w:eastAsia="標楷體" w:hAnsi="標楷體" w:cs="Times New Roman"/>
          <w:b/>
          <w:kern w:val="0"/>
          <w:sz w:val="28"/>
          <w:szCs w:val="24"/>
          <w:bdr w:val="nil"/>
        </w:rPr>
      </w:pPr>
      <w:r w:rsidRPr="00842989">
        <w:rPr>
          <w:rFonts w:ascii="標楷體" w:eastAsia="標楷體" w:hAnsi="標楷體" w:cs="Times New Roman" w:hint="eastAsia"/>
          <w:b/>
          <w:kern w:val="0"/>
          <w:sz w:val="28"/>
          <w:szCs w:val="24"/>
          <w:bdr w:val="nil"/>
        </w:rPr>
        <w:t>附件3、創新創業團隊簡介</w:t>
      </w:r>
    </w:p>
    <w:tbl>
      <w:tblPr>
        <w:tblW w:w="99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190"/>
        <w:gridCol w:w="1361"/>
        <w:gridCol w:w="5068"/>
        <w:gridCol w:w="1794"/>
      </w:tblGrid>
      <w:tr w:rsidR="00842989" w:rsidRPr="00842989" w:rsidTr="00400C63">
        <w:trPr>
          <w:tblHeader/>
        </w:trPr>
        <w:tc>
          <w:tcPr>
            <w:tcW w:w="568" w:type="dxa"/>
            <w:shd w:val="clear" w:color="auto" w:fill="D9D9D9"/>
            <w:vAlign w:val="center"/>
          </w:tcPr>
          <w:p w:rsidR="00842989" w:rsidRPr="00842989" w:rsidRDefault="00842989" w:rsidP="00842989">
            <w:pPr>
              <w:widowControl/>
              <w:pBdr>
                <w:top w:val="nil"/>
                <w:left w:val="nil"/>
                <w:bottom w:val="nil"/>
                <w:right w:val="nil"/>
                <w:between w:val="nil"/>
                <w:bar w:val="nil"/>
              </w:pBdr>
              <w:snapToGrid w:val="0"/>
              <w:jc w:val="center"/>
              <w:rPr>
                <w:rFonts w:ascii="標楷體" w:eastAsia="標楷體" w:hAnsi="標楷體" w:cs="Times New Roman"/>
                <w:kern w:val="0"/>
                <w:szCs w:val="24"/>
                <w:bdr w:val="nil"/>
                <w:lang w:eastAsia="en-US"/>
              </w:rPr>
            </w:pPr>
            <w:r w:rsidRPr="00842989">
              <w:rPr>
                <w:rFonts w:ascii="標楷體" w:eastAsia="標楷體" w:hAnsi="標楷體" w:cs="標楷體"/>
                <w:b/>
                <w:kern w:val="0"/>
                <w:szCs w:val="24"/>
                <w:bdr w:val="nil"/>
                <w:lang w:eastAsia="en-US"/>
              </w:rPr>
              <w:t>編號</w:t>
            </w:r>
          </w:p>
        </w:tc>
        <w:tc>
          <w:tcPr>
            <w:tcW w:w="1190" w:type="dxa"/>
            <w:shd w:val="clear" w:color="auto" w:fill="D9D9D9"/>
            <w:vAlign w:val="center"/>
          </w:tcPr>
          <w:p w:rsidR="00842989" w:rsidRPr="00842989" w:rsidRDefault="00842989" w:rsidP="00842989">
            <w:pPr>
              <w:widowControl/>
              <w:pBdr>
                <w:top w:val="nil"/>
                <w:left w:val="nil"/>
                <w:bottom w:val="nil"/>
                <w:right w:val="nil"/>
                <w:between w:val="nil"/>
                <w:bar w:val="nil"/>
              </w:pBdr>
              <w:snapToGrid w:val="0"/>
              <w:jc w:val="center"/>
              <w:rPr>
                <w:rFonts w:ascii="標楷體" w:eastAsia="標楷體" w:hAnsi="標楷體" w:cs="Times New Roman"/>
                <w:kern w:val="0"/>
                <w:szCs w:val="24"/>
                <w:bdr w:val="nil"/>
                <w:lang w:eastAsia="en-US"/>
              </w:rPr>
            </w:pPr>
            <w:r w:rsidRPr="00842989">
              <w:rPr>
                <w:rFonts w:ascii="標楷體" w:eastAsia="標楷體" w:hAnsi="標楷體" w:cs="標楷體"/>
                <w:b/>
                <w:kern w:val="0"/>
                <w:szCs w:val="24"/>
                <w:bdr w:val="nil"/>
                <w:lang w:eastAsia="en-US"/>
              </w:rPr>
              <w:t>學校</w:t>
            </w:r>
          </w:p>
        </w:tc>
        <w:tc>
          <w:tcPr>
            <w:tcW w:w="1361" w:type="dxa"/>
            <w:shd w:val="clear" w:color="auto" w:fill="D9D9D9"/>
            <w:vAlign w:val="center"/>
          </w:tcPr>
          <w:p w:rsidR="00842989" w:rsidRPr="00842989" w:rsidRDefault="00842989" w:rsidP="00842989">
            <w:pPr>
              <w:widowControl/>
              <w:pBdr>
                <w:top w:val="nil"/>
                <w:left w:val="nil"/>
                <w:bottom w:val="nil"/>
                <w:right w:val="nil"/>
                <w:between w:val="nil"/>
                <w:bar w:val="nil"/>
              </w:pBdr>
              <w:snapToGrid w:val="0"/>
              <w:jc w:val="center"/>
              <w:rPr>
                <w:rFonts w:ascii="標楷體" w:eastAsia="標楷體" w:hAnsi="標楷體" w:cs="Times New Roman"/>
                <w:kern w:val="0"/>
                <w:szCs w:val="24"/>
                <w:bdr w:val="nil"/>
                <w:lang w:eastAsia="en-US"/>
              </w:rPr>
            </w:pPr>
            <w:r w:rsidRPr="00842989">
              <w:rPr>
                <w:rFonts w:ascii="標楷體" w:eastAsia="標楷體" w:hAnsi="標楷體" w:cs="標楷體"/>
                <w:b/>
                <w:kern w:val="0"/>
                <w:szCs w:val="24"/>
                <w:bdr w:val="nil"/>
                <w:lang w:eastAsia="en-US"/>
              </w:rPr>
              <w:t>參展隊伍名稱</w:t>
            </w:r>
          </w:p>
        </w:tc>
        <w:tc>
          <w:tcPr>
            <w:tcW w:w="5068" w:type="dxa"/>
            <w:shd w:val="clear" w:color="auto" w:fill="D9D9D9"/>
            <w:vAlign w:val="center"/>
          </w:tcPr>
          <w:p w:rsidR="00842989" w:rsidRPr="00842989" w:rsidRDefault="00842989" w:rsidP="00842989">
            <w:pPr>
              <w:widowControl/>
              <w:pBdr>
                <w:top w:val="nil"/>
                <w:left w:val="nil"/>
                <w:bottom w:val="nil"/>
                <w:right w:val="nil"/>
                <w:between w:val="nil"/>
                <w:bar w:val="nil"/>
              </w:pBdr>
              <w:snapToGrid w:val="0"/>
              <w:jc w:val="center"/>
              <w:rPr>
                <w:rFonts w:ascii="標楷體" w:eastAsia="標楷體" w:hAnsi="標楷體" w:cs="Times New Roman"/>
                <w:kern w:val="0"/>
                <w:szCs w:val="24"/>
                <w:bdr w:val="nil"/>
                <w:lang w:eastAsia="en-US"/>
              </w:rPr>
            </w:pPr>
            <w:r w:rsidRPr="00842989">
              <w:rPr>
                <w:rFonts w:ascii="標楷體" w:eastAsia="標楷體" w:hAnsi="標楷體" w:cs="標楷體"/>
                <w:b/>
                <w:kern w:val="0"/>
                <w:szCs w:val="24"/>
                <w:bdr w:val="nil"/>
                <w:lang w:eastAsia="en-US"/>
              </w:rPr>
              <w:t>團隊說明</w:t>
            </w:r>
          </w:p>
        </w:tc>
        <w:tc>
          <w:tcPr>
            <w:tcW w:w="1794" w:type="dxa"/>
            <w:shd w:val="clear" w:color="auto" w:fill="D9D9D9"/>
            <w:vAlign w:val="center"/>
          </w:tcPr>
          <w:p w:rsidR="00842989" w:rsidRPr="00842989" w:rsidRDefault="00842989" w:rsidP="00842989">
            <w:pPr>
              <w:widowControl/>
              <w:pBdr>
                <w:top w:val="nil"/>
                <w:left w:val="nil"/>
                <w:bottom w:val="nil"/>
                <w:right w:val="nil"/>
                <w:between w:val="nil"/>
                <w:bar w:val="nil"/>
              </w:pBdr>
              <w:snapToGrid w:val="0"/>
              <w:jc w:val="center"/>
              <w:rPr>
                <w:rFonts w:ascii="標楷體" w:eastAsia="標楷體" w:hAnsi="標楷體" w:cs="Times New Roman"/>
                <w:kern w:val="0"/>
                <w:szCs w:val="24"/>
                <w:bdr w:val="nil"/>
                <w:lang w:eastAsia="en-US"/>
              </w:rPr>
            </w:pPr>
            <w:r w:rsidRPr="00842989">
              <w:rPr>
                <w:rFonts w:ascii="標楷體" w:eastAsia="標楷體" w:hAnsi="標楷體" w:cs="標楷體"/>
                <w:b/>
                <w:kern w:val="0"/>
                <w:szCs w:val="24"/>
                <w:bdr w:val="nil"/>
                <w:lang w:eastAsia="en-US"/>
              </w:rPr>
              <w:t>團隊經歷</w:t>
            </w:r>
          </w:p>
        </w:tc>
      </w:tr>
      <w:tr w:rsidR="00842989" w:rsidRPr="00842989" w:rsidTr="00400C63">
        <w:tc>
          <w:tcPr>
            <w:tcW w:w="568" w:type="dxa"/>
            <w:vAlign w:val="center"/>
          </w:tcPr>
          <w:p w:rsidR="00842989" w:rsidRPr="00842989" w:rsidRDefault="00842989" w:rsidP="00842989">
            <w:pPr>
              <w:widowControl/>
              <w:pBdr>
                <w:top w:val="nil"/>
                <w:left w:val="nil"/>
                <w:bottom w:val="nil"/>
                <w:right w:val="nil"/>
                <w:between w:val="nil"/>
                <w:bar w:val="nil"/>
              </w:pBdr>
              <w:jc w:val="cente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1</w:t>
            </w:r>
          </w:p>
        </w:tc>
        <w:tc>
          <w:tcPr>
            <w:tcW w:w="1190"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國立臺灣海洋大學</w:t>
            </w:r>
          </w:p>
        </w:tc>
        <w:tc>
          <w:tcPr>
            <w:tcW w:w="1361"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海洋珍品</w:t>
            </w:r>
          </w:p>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p>
        </w:tc>
        <w:tc>
          <w:tcPr>
            <w:tcW w:w="5068"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r w:rsidRPr="00842989">
              <w:rPr>
                <w:rFonts w:ascii="標楷體" w:eastAsia="標楷體" w:hAnsi="標楷體" w:cs="標楷體"/>
                <w:kern w:val="0"/>
                <w:szCs w:val="24"/>
                <w:bdr w:val="nil"/>
              </w:rPr>
              <w:t>海洋珍品將以複合商店的方式經營，除了提供海洋特色商品展售之外，主要是開發文創商品及提供餐飲服務為主，以可以帶著走的食品為研發重點，販售海洋特色餐飲(如石花凍飲、鎖管創意料理等)，配合當地農、漁產品，推出季節限定商品，結合地方特色開發海洋文創商品，透過實體商店及網路平臺銷售商品。</w:t>
            </w:r>
          </w:p>
        </w:tc>
        <w:tc>
          <w:tcPr>
            <w:tcW w:w="1794"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r w:rsidRPr="00842989">
              <w:rPr>
                <w:rFonts w:ascii="標楷體" w:eastAsia="標楷體" w:hAnsi="標楷體" w:cs="標楷體"/>
                <w:kern w:val="0"/>
                <w:szCs w:val="24"/>
                <w:bdr w:val="nil"/>
              </w:rPr>
              <w:t>入選海洋大學第一屆創業家團隊總評選</w:t>
            </w:r>
          </w:p>
        </w:tc>
        <w:bookmarkStart w:id="0" w:name="h.30j0zll" w:colFirst="0" w:colLast="0"/>
        <w:bookmarkEnd w:id="0"/>
      </w:tr>
      <w:tr w:rsidR="00842989" w:rsidRPr="00842989" w:rsidTr="00400C63">
        <w:tc>
          <w:tcPr>
            <w:tcW w:w="568" w:type="dxa"/>
            <w:vAlign w:val="center"/>
          </w:tcPr>
          <w:p w:rsidR="00842989" w:rsidRPr="00842989" w:rsidRDefault="00842989" w:rsidP="00842989">
            <w:pPr>
              <w:widowControl/>
              <w:pBdr>
                <w:top w:val="nil"/>
                <w:left w:val="nil"/>
                <w:bottom w:val="nil"/>
                <w:right w:val="nil"/>
                <w:between w:val="nil"/>
                <w:bar w:val="nil"/>
              </w:pBdr>
              <w:jc w:val="cente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2</w:t>
            </w:r>
          </w:p>
        </w:tc>
        <w:tc>
          <w:tcPr>
            <w:tcW w:w="1190"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國立中興大學</w:t>
            </w:r>
          </w:p>
        </w:tc>
        <w:tc>
          <w:tcPr>
            <w:tcW w:w="1361"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興大睿茶－花果茶</w:t>
            </w:r>
          </w:p>
        </w:tc>
        <w:tc>
          <w:tcPr>
            <w:tcW w:w="5068"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r w:rsidRPr="00842989">
              <w:rPr>
                <w:rFonts w:ascii="標楷體" w:eastAsia="標楷體" w:hAnsi="標楷體" w:cs="標楷體"/>
                <w:kern w:val="0"/>
                <w:szCs w:val="24"/>
                <w:bdr w:val="nil"/>
              </w:rPr>
              <w:t>花果茶風行已久，最大優點在喝茶的同時，茶香與淡淡的花果、香草之香氣交互融合。目前茶飲市場無論手搖茶或者罐裝茶，多無因應消費者多元的口感喜好而推出多樣化、多變性的產品，故本團隊以目前中興大學校園與農場中之香花及香草材，輔以市場上受歡迎之香花、水果及香草材製作睿茶之花果茶，以焙茶、熏香、封香、窨花…等方式與技術，利用茶善於吸收異味的特點，將香花果或香草具有特殊香氣之植物，與團隊所製基茶（包種茶、烏龍茶、紅茶）混和，提供多樣化產品，以期迎合多元市場之需求。</w:t>
            </w:r>
          </w:p>
        </w:tc>
        <w:tc>
          <w:tcPr>
            <w:tcW w:w="1794"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r w:rsidRPr="00842989">
              <w:rPr>
                <w:rFonts w:ascii="標楷體" w:eastAsia="標楷體" w:hAnsi="標楷體" w:cs="標楷體"/>
                <w:kern w:val="0"/>
                <w:szCs w:val="24"/>
                <w:bdr w:val="nil"/>
              </w:rPr>
              <w:t>國立中興大學2014第一屆茶的幸福人生比賽生產組第一名</w:t>
            </w:r>
          </w:p>
        </w:tc>
      </w:tr>
      <w:tr w:rsidR="00842989" w:rsidRPr="00842989" w:rsidTr="00400C63">
        <w:tc>
          <w:tcPr>
            <w:tcW w:w="568" w:type="dxa"/>
            <w:vAlign w:val="center"/>
          </w:tcPr>
          <w:p w:rsidR="00842989" w:rsidRPr="00842989" w:rsidRDefault="00842989" w:rsidP="00842989">
            <w:pPr>
              <w:widowControl/>
              <w:pBdr>
                <w:top w:val="nil"/>
                <w:left w:val="nil"/>
                <w:bottom w:val="nil"/>
                <w:right w:val="nil"/>
                <w:between w:val="nil"/>
                <w:bar w:val="nil"/>
              </w:pBdr>
              <w:jc w:val="cente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3</w:t>
            </w:r>
          </w:p>
        </w:tc>
        <w:tc>
          <w:tcPr>
            <w:tcW w:w="1190"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國立中興大學</w:t>
            </w:r>
          </w:p>
        </w:tc>
        <w:tc>
          <w:tcPr>
            <w:tcW w:w="1361"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EDWIN</w:t>
            </w:r>
          </w:p>
        </w:tc>
        <w:tc>
          <w:tcPr>
            <w:tcW w:w="5068"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r w:rsidRPr="00842989">
              <w:rPr>
                <w:rFonts w:ascii="標楷體" w:eastAsia="標楷體" w:hAnsi="標楷體" w:cs="標楷體"/>
                <w:kern w:val="0"/>
                <w:szCs w:val="24"/>
                <w:bdr w:val="nil"/>
              </w:rPr>
              <w:t>EDWIN平臺以作為食安把關使者的角色為功能，結合團隊成員之專業優勢及現有資源，延伸發揮整合功能，除協助有銷售通路需求的農民解決問題，進一步滿足消費者購買安全農產品之訴求，未來將持續於南投縣推廣在地有機農產業，創造臺灣更友善優質的農業生產及消費環境。</w:t>
            </w:r>
          </w:p>
        </w:tc>
        <w:tc>
          <w:tcPr>
            <w:tcW w:w="1794"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r w:rsidRPr="00842989">
              <w:rPr>
                <w:rFonts w:ascii="標楷體" w:eastAsia="標楷體" w:hAnsi="標楷體" w:cs="標楷體"/>
                <w:kern w:val="0"/>
                <w:szCs w:val="24"/>
                <w:bdr w:val="nil"/>
              </w:rPr>
              <w:t>2014臺灣服務科學學會教與學委員會在地化實踐服務創新提案競賽(決賽)</w:t>
            </w:r>
          </w:p>
        </w:tc>
      </w:tr>
      <w:tr w:rsidR="00842989" w:rsidRPr="00842989" w:rsidTr="00400C63">
        <w:tc>
          <w:tcPr>
            <w:tcW w:w="568" w:type="dxa"/>
            <w:vAlign w:val="center"/>
          </w:tcPr>
          <w:p w:rsidR="00842989" w:rsidRPr="00842989" w:rsidRDefault="00842989" w:rsidP="00842989">
            <w:pPr>
              <w:widowControl/>
              <w:pBdr>
                <w:top w:val="nil"/>
                <w:left w:val="nil"/>
                <w:bottom w:val="nil"/>
                <w:right w:val="nil"/>
                <w:between w:val="nil"/>
                <w:bar w:val="nil"/>
              </w:pBdr>
              <w:jc w:val="cente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4</w:t>
            </w:r>
          </w:p>
        </w:tc>
        <w:tc>
          <w:tcPr>
            <w:tcW w:w="1190"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靜宜大學</w:t>
            </w:r>
          </w:p>
        </w:tc>
        <w:tc>
          <w:tcPr>
            <w:tcW w:w="1361"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宜蔬宜果</w:t>
            </w:r>
          </w:p>
        </w:tc>
        <w:tc>
          <w:tcPr>
            <w:tcW w:w="5068"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r w:rsidRPr="00842989">
              <w:rPr>
                <w:rFonts w:ascii="標楷體" w:eastAsia="標楷體" w:hAnsi="標楷體" w:cs="標楷體"/>
                <w:kern w:val="0"/>
                <w:szCs w:val="24"/>
                <w:bdr w:val="nil"/>
              </w:rPr>
              <w:t>宜蔬宜果希望每個想要來種植的人，不論是老師或學生，都可以在宜蔬宜果的小小園地中，包括在實質的土地上或是在空中菜園裡，都可以建立與自己對話的空間，以及自己和伙伴的緊密連結關係！在宜蔬宜果園種植，大家互相幫助，一起搬土、抓菜蟲…讓宜蔬宜果園變成你第二個家！</w:t>
            </w:r>
          </w:p>
        </w:tc>
        <w:tc>
          <w:tcPr>
            <w:tcW w:w="1794"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r w:rsidRPr="00842989">
              <w:rPr>
                <w:rFonts w:ascii="標楷體" w:eastAsia="標楷體" w:hAnsi="標楷體" w:cs="標楷體"/>
                <w:kern w:val="0"/>
                <w:szCs w:val="24"/>
                <w:bdr w:val="nil"/>
              </w:rPr>
              <w:t>靜宜大學第一屆Dream fly創業競賽 第二名</w:t>
            </w:r>
          </w:p>
        </w:tc>
      </w:tr>
      <w:tr w:rsidR="00842989" w:rsidRPr="00842989" w:rsidTr="00400C63">
        <w:tc>
          <w:tcPr>
            <w:tcW w:w="568" w:type="dxa"/>
            <w:vAlign w:val="center"/>
          </w:tcPr>
          <w:p w:rsidR="00842989" w:rsidRPr="00842989" w:rsidRDefault="00842989" w:rsidP="00842989">
            <w:pPr>
              <w:widowControl/>
              <w:pBdr>
                <w:top w:val="nil"/>
                <w:left w:val="nil"/>
                <w:bottom w:val="nil"/>
                <w:right w:val="nil"/>
                <w:between w:val="nil"/>
                <w:bar w:val="nil"/>
              </w:pBdr>
              <w:jc w:val="cente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5</w:t>
            </w:r>
          </w:p>
        </w:tc>
        <w:tc>
          <w:tcPr>
            <w:tcW w:w="1190"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國立臺灣海洋大學</w:t>
            </w:r>
          </w:p>
        </w:tc>
        <w:tc>
          <w:tcPr>
            <w:tcW w:w="1361"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食在好</w:t>
            </w:r>
          </w:p>
        </w:tc>
        <w:tc>
          <w:tcPr>
            <w:tcW w:w="5068" w:type="dxa"/>
          </w:tcPr>
          <w:p w:rsidR="00842989" w:rsidRPr="00842989" w:rsidRDefault="00842989" w:rsidP="00842989">
            <w:pPr>
              <w:widowControl/>
              <w:pBdr>
                <w:top w:val="nil"/>
                <w:left w:val="nil"/>
                <w:bottom w:val="nil"/>
                <w:right w:val="nil"/>
                <w:between w:val="nil"/>
                <w:bar w:val="nil"/>
              </w:pBdr>
              <w:tabs>
                <w:tab w:val="left" w:pos="2210"/>
              </w:tabs>
              <w:jc w:val="both"/>
              <w:rPr>
                <w:rFonts w:ascii="標楷體" w:eastAsia="標楷體" w:hAnsi="標楷體" w:cs="Times New Roman"/>
                <w:kern w:val="0"/>
                <w:szCs w:val="24"/>
                <w:bdr w:val="nil"/>
              </w:rPr>
            </w:pPr>
            <w:r w:rsidRPr="00842989">
              <w:rPr>
                <w:rFonts w:ascii="標楷體" w:eastAsia="標楷體" w:hAnsi="標楷體" w:cs="標楷體"/>
                <w:kern w:val="0"/>
                <w:szCs w:val="24"/>
                <w:bdr w:val="nil"/>
              </w:rPr>
              <w:t>食在好團隊經由在大學時期求學的日子開始認識東北角的海洋，參訪</w:t>
            </w:r>
            <w:r w:rsidRPr="00842989">
              <w:rPr>
                <w:rFonts w:ascii="標楷體" w:eastAsia="標楷體" w:hAnsi="標楷體" w:cs="標楷體" w:hint="eastAsia"/>
                <w:kern w:val="0"/>
                <w:szCs w:val="24"/>
                <w:bdr w:val="nil"/>
              </w:rPr>
              <w:t>沒落</w:t>
            </w:r>
            <w:r w:rsidRPr="00842989">
              <w:rPr>
                <w:rFonts w:ascii="標楷體" w:eastAsia="標楷體" w:hAnsi="標楷體" w:cs="標楷體"/>
                <w:kern w:val="0"/>
                <w:szCs w:val="24"/>
                <w:bdr w:val="nil"/>
              </w:rPr>
              <w:t>的漁村社區，也將當地居民的經濟作物－石菜花結合新穎的生技技術，並善用其自然特性</w:t>
            </w:r>
            <w:r w:rsidRPr="00842989">
              <w:rPr>
                <w:rFonts w:ascii="標楷體" w:eastAsia="標楷體" w:hAnsi="標楷體" w:cs="標楷體" w:hint="eastAsia"/>
                <w:kern w:val="0"/>
                <w:szCs w:val="24"/>
                <w:bdr w:val="nil"/>
              </w:rPr>
              <w:t>製作成面膜等產品</w:t>
            </w:r>
            <w:r w:rsidRPr="00842989">
              <w:rPr>
                <w:rFonts w:ascii="標楷體" w:eastAsia="標楷體" w:hAnsi="標楷體" w:cs="標楷體"/>
                <w:kern w:val="0"/>
                <w:szCs w:val="24"/>
                <w:bdr w:val="nil"/>
              </w:rPr>
              <w:t>，</w:t>
            </w:r>
            <w:r w:rsidRPr="00842989">
              <w:rPr>
                <w:rFonts w:ascii="標楷體" w:eastAsia="標楷體" w:hAnsi="標楷體" w:cs="標楷體"/>
                <w:kern w:val="0"/>
                <w:szCs w:val="24"/>
                <w:bdr w:val="nil"/>
              </w:rPr>
              <w:lastRenderedPageBreak/>
              <w:t>提升附加價值，讓原本平凡</w:t>
            </w:r>
            <w:r w:rsidRPr="00842989">
              <w:rPr>
                <w:rFonts w:ascii="標楷體" w:eastAsia="標楷體" w:hAnsi="標楷體" w:cs="標楷體" w:hint="eastAsia"/>
                <w:kern w:val="0"/>
                <w:szCs w:val="24"/>
                <w:bdr w:val="nil"/>
              </w:rPr>
              <w:t>的</w:t>
            </w:r>
            <w:r w:rsidRPr="00842989">
              <w:rPr>
                <w:rFonts w:ascii="標楷體" w:eastAsia="標楷體" w:hAnsi="標楷體" w:cs="標楷體"/>
                <w:kern w:val="0"/>
                <w:szCs w:val="24"/>
                <w:bdr w:val="nil"/>
              </w:rPr>
              <w:t>石花菜因此變得不平凡，並逐漸活絡漁村經濟。</w:t>
            </w:r>
          </w:p>
        </w:tc>
        <w:tc>
          <w:tcPr>
            <w:tcW w:w="1794"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r w:rsidRPr="00842989">
              <w:rPr>
                <w:rFonts w:ascii="標楷體" w:eastAsia="標楷體" w:hAnsi="標楷體" w:cs="標楷體"/>
                <w:kern w:val="0"/>
                <w:szCs w:val="24"/>
                <w:bdr w:val="nil"/>
              </w:rPr>
              <w:lastRenderedPageBreak/>
              <w:t>海洋大學第三屆創業家團隊第二次評選第一名</w:t>
            </w:r>
          </w:p>
        </w:tc>
      </w:tr>
      <w:tr w:rsidR="00842989" w:rsidRPr="00842989" w:rsidTr="00400C63">
        <w:tc>
          <w:tcPr>
            <w:tcW w:w="568" w:type="dxa"/>
            <w:vAlign w:val="center"/>
          </w:tcPr>
          <w:p w:rsidR="00842989" w:rsidRPr="00842989" w:rsidRDefault="00842989" w:rsidP="00842989">
            <w:pPr>
              <w:widowControl/>
              <w:pBdr>
                <w:top w:val="nil"/>
                <w:left w:val="nil"/>
                <w:bottom w:val="nil"/>
                <w:right w:val="nil"/>
                <w:between w:val="nil"/>
                <w:bar w:val="nil"/>
              </w:pBdr>
              <w:jc w:val="cente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lastRenderedPageBreak/>
              <w:t>6</w:t>
            </w:r>
          </w:p>
        </w:tc>
        <w:tc>
          <w:tcPr>
            <w:tcW w:w="1190"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高雄醫學大學</w:t>
            </w:r>
          </w:p>
        </w:tc>
        <w:tc>
          <w:tcPr>
            <w:tcW w:w="1361"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金齡養老茶</w:t>
            </w:r>
          </w:p>
        </w:tc>
        <w:tc>
          <w:tcPr>
            <w:tcW w:w="5068"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r w:rsidRPr="00842989">
              <w:rPr>
                <w:rFonts w:ascii="標楷體" w:eastAsia="標楷體" w:hAnsi="標楷體" w:cs="標楷體"/>
                <w:kern w:val="0"/>
                <w:szCs w:val="24"/>
                <w:bdr w:val="nil"/>
              </w:rPr>
              <w:t>養老茶社區在宅介護店位在巷弄內的金齡生活用品商店，提供作為社區客廳讓輕度失能及失智者接受日間課程服務，並提供社區居家服務及介護支援的創新銀髮照顧服務。</w:t>
            </w:r>
          </w:p>
        </w:tc>
        <w:tc>
          <w:tcPr>
            <w:tcW w:w="1794" w:type="dxa"/>
          </w:tcPr>
          <w:p w:rsidR="00842989" w:rsidRPr="00842989" w:rsidRDefault="00842989" w:rsidP="00842989">
            <w:pPr>
              <w:widowControl/>
              <w:pBdr>
                <w:top w:val="nil"/>
                <w:left w:val="nil"/>
                <w:bottom w:val="nil"/>
                <w:right w:val="nil"/>
                <w:between w:val="nil"/>
                <w:bar w:val="nil"/>
              </w:pBdr>
              <w:tabs>
                <w:tab w:val="left" w:pos="687"/>
              </w:tabs>
              <w:jc w:val="both"/>
              <w:rPr>
                <w:rFonts w:ascii="標楷體" w:eastAsia="標楷體" w:hAnsi="標楷體" w:cs="Times New Roman"/>
                <w:kern w:val="0"/>
                <w:szCs w:val="24"/>
                <w:bdr w:val="nil"/>
              </w:rPr>
            </w:pPr>
            <w:r w:rsidRPr="00842989">
              <w:rPr>
                <w:rFonts w:ascii="標楷體" w:eastAsia="標楷體" w:hAnsi="標楷體" w:cs="標楷體"/>
                <w:kern w:val="0"/>
                <w:szCs w:val="24"/>
                <w:bdr w:val="nil"/>
              </w:rPr>
              <w:t>103/10/31 設立金齡養老茶有限公司</w:t>
            </w:r>
            <w:r w:rsidRPr="00842989">
              <w:rPr>
                <w:rFonts w:ascii="標楷體" w:eastAsia="標楷體" w:hAnsi="標楷體" w:cs="標楷體"/>
                <w:kern w:val="0"/>
                <w:szCs w:val="24"/>
                <w:bdr w:val="nil"/>
              </w:rPr>
              <w:tab/>
            </w:r>
          </w:p>
        </w:tc>
      </w:tr>
      <w:tr w:rsidR="00842989" w:rsidRPr="00842989" w:rsidTr="00400C63">
        <w:tc>
          <w:tcPr>
            <w:tcW w:w="568" w:type="dxa"/>
            <w:vAlign w:val="center"/>
          </w:tcPr>
          <w:p w:rsidR="00842989" w:rsidRPr="00842989" w:rsidRDefault="00842989" w:rsidP="00842989">
            <w:pPr>
              <w:widowControl/>
              <w:pBdr>
                <w:top w:val="nil"/>
                <w:left w:val="nil"/>
                <w:bottom w:val="nil"/>
                <w:right w:val="nil"/>
                <w:between w:val="nil"/>
                <w:bar w:val="nil"/>
              </w:pBdr>
              <w:jc w:val="cente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7</w:t>
            </w:r>
          </w:p>
        </w:tc>
        <w:tc>
          <w:tcPr>
            <w:tcW w:w="1190"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高雄醫學大學</w:t>
            </w:r>
          </w:p>
        </w:tc>
        <w:tc>
          <w:tcPr>
            <w:tcW w:w="1361"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救世主</w:t>
            </w:r>
          </w:p>
        </w:tc>
        <w:tc>
          <w:tcPr>
            <w:tcW w:w="5068"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r w:rsidRPr="00842989">
              <w:rPr>
                <w:rFonts w:ascii="標楷體" w:eastAsia="標楷體" w:hAnsi="標楷體" w:cs="標楷體"/>
                <w:kern w:val="0"/>
                <w:szCs w:val="24"/>
                <w:bdr w:val="nil"/>
              </w:rPr>
              <w:t>團隊的組成由五位兼具醫務管理及醫療資訊專長訓練的學生團隊組成，透過醫務管理暨醫療資訊學系專案式專題課程及NICE創新方法學的養成訓練及多年所學的跨領域基礎知識，經共識與討論研發出對社會大眾有助益的應用服務產品。本團隊針對國際上老人衰弱評估發展經系統化統計分析歸納而成一符合本土需求的簡易評估表，且為擴大自主評量普及率及施測便利性，將具體發展一行動化遊戲導引APP，讓填寫過程轉變成簡單、直覺的手眼協同觸控操作。</w:t>
            </w:r>
          </w:p>
        </w:tc>
        <w:tc>
          <w:tcPr>
            <w:tcW w:w="1794"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r w:rsidRPr="00842989">
              <w:rPr>
                <w:rFonts w:ascii="標楷體" w:eastAsia="標楷體" w:hAnsi="標楷體" w:cs="標楷體"/>
                <w:kern w:val="0"/>
                <w:szCs w:val="24"/>
                <w:bdr w:val="nil"/>
              </w:rPr>
              <w:t>高雄醫學大學校園創業競賽創意組佳作；第九屆戰國策社會企業組佳作</w:t>
            </w:r>
          </w:p>
        </w:tc>
      </w:tr>
      <w:tr w:rsidR="00842989" w:rsidRPr="00842989" w:rsidTr="00400C63">
        <w:tc>
          <w:tcPr>
            <w:tcW w:w="568" w:type="dxa"/>
            <w:vAlign w:val="center"/>
          </w:tcPr>
          <w:p w:rsidR="00842989" w:rsidRPr="00842989" w:rsidRDefault="00842989" w:rsidP="00842989">
            <w:pPr>
              <w:widowControl/>
              <w:pBdr>
                <w:top w:val="nil"/>
                <w:left w:val="nil"/>
                <w:bottom w:val="nil"/>
                <w:right w:val="nil"/>
                <w:between w:val="nil"/>
                <w:bar w:val="nil"/>
              </w:pBdr>
              <w:jc w:val="cente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8</w:t>
            </w:r>
          </w:p>
        </w:tc>
        <w:tc>
          <w:tcPr>
            <w:tcW w:w="1190"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高雄醫學大學</w:t>
            </w:r>
          </w:p>
        </w:tc>
        <w:tc>
          <w:tcPr>
            <w:tcW w:w="1361"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LOHAS愛樂活</w:t>
            </w:r>
          </w:p>
        </w:tc>
        <w:tc>
          <w:tcPr>
            <w:tcW w:w="5068"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r w:rsidRPr="00842989">
              <w:rPr>
                <w:rFonts w:ascii="標楷體" w:eastAsia="標楷體" w:hAnsi="標楷體" w:cs="標楷體"/>
                <w:kern w:val="0"/>
                <w:szCs w:val="24"/>
                <w:bdr w:val="nil"/>
              </w:rPr>
              <w:t>本團隊擁有資訊程式、基礎醫學方面相關知識，以醫務管理暨醫療資訊學系系上學長姐擁有之專題經驗，再經系上及醫院有許多研讀醫療及資訊方面的老師和醫生的幫助，本團隊透過眾多資源的運用及隊員們間的腦力激盪，針對可自主行動的巴金森氏症患者，開發出一套以體感遊戲為主軸的居家復健輔助系統，將太極拳運動和抬腿動作融入遊戲體感中，透過趣味性的遊戲導引，進行下肢肌耐力與平衡訓練，激勵患者自主復健的動機與成效。</w:t>
            </w:r>
          </w:p>
        </w:tc>
        <w:tc>
          <w:tcPr>
            <w:tcW w:w="1794"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r w:rsidRPr="00842989">
              <w:rPr>
                <w:rFonts w:ascii="標楷體" w:eastAsia="標楷體" w:hAnsi="標楷體" w:cs="標楷體"/>
                <w:kern w:val="0"/>
                <w:szCs w:val="24"/>
                <w:bdr w:val="nil"/>
              </w:rPr>
              <w:t>第九屆戰國策社會企業組　佳作</w:t>
            </w:r>
          </w:p>
        </w:tc>
      </w:tr>
      <w:tr w:rsidR="00842989" w:rsidRPr="00842989" w:rsidTr="00400C63">
        <w:tc>
          <w:tcPr>
            <w:tcW w:w="568" w:type="dxa"/>
            <w:vAlign w:val="center"/>
          </w:tcPr>
          <w:p w:rsidR="00842989" w:rsidRPr="00842989" w:rsidRDefault="00842989" w:rsidP="00842989">
            <w:pPr>
              <w:widowControl/>
              <w:pBdr>
                <w:top w:val="nil"/>
                <w:left w:val="nil"/>
                <w:bottom w:val="nil"/>
                <w:right w:val="nil"/>
                <w:between w:val="nil"/>
                <w:bar w:val="nil"/>
              </w:pBdr>
              <w:jc w:val="cente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9</w:t>
            </w:r>
          </w:p>
        </w:tc>
        <w:tc>
          <w:tcPr>
            <w:tcW w:w="1190"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校外團隊</w:t>
            </w:r>
          </w:p>
        </w:tc>
        <w:tc>
          <w:tcPr>
            <w:tcW w:w="1361"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瑪帛科技</w:t>
            </w:r>
          </w:p>
        </w:tc>
        <w:tc>
          <w:tcPr>
            <w:tcW w:w="5068"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r w:rsidRPr="00842989">
              <w:rPr>
                <w:rFonts w:ascii="標楷體" w:eastAsia="標楷體" w:hAnsi="標楷體" w:cs="標楷體"/>
                <w:kern w:val="0"/>
                <w:szCs w:val="24"/>
                <w:bdr w:val="nil"/>
              </w:rPr>
              <w:t>「科技理應被享受，而非拿來學習。」瑪帛科技 (MABOW) 將視訊服務頻道化，讓長者用熟悉的電視，享受視訊所帶來的關懷及便利。目前推出的產品包含 MABOW gate －高齡者端使用遙控器進行操作，可轉至特定臺數撥打視訊電話，或按下綠色按鈕，輕鬆接聽子女的視訊來電、 MABOW home APP －子女端使用智慧型裝置可撥打視訊電話到長者家中的電視裡。</w:t>
            </w:r>
          </w:p>
        </w:tc>
        <w:tc>
          <w:tcPr>
            <w:tcW w:w="1794"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p>
        </w:tc>
      </w:tr>
      <w:tr w:rsidR="00842989" w:rsidRPr="00842989" w:rsidTr="00400C63">
        <w:tc>
          <w:tcPr>
            <w:tcW w:w="568" w:type="dxa"/>
            <w:vAlign w:val="center"/>
          </w:tcPr>
          <w:p w:rsidR="00842989" w:rsidRPr="00842989" w:rsidRDefault="00842989" w:rsidP="00842989">
            <w:pPr>
              <w:widowControl/>
              <w:pBdr>
                <w:top w:val="nil"/>
                <w:left w:val="nil"/>
                <w:bottom w:val="nil"/>
                <w:right w:val="nil"/>
                <w:between w:val="nil"/>
                <w:bar w:val="nil"/>
              </w:pBdr>
              <w:jc w:val="cente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10</w:t>
            </w:r>
          </w:p>
        </w:tc>
        <w:tc>
          <w:tcPr>
            <w:tcW w:w="1190"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國立臺灣海洋大學</w:t>
            </w:r>
          </w:p>
        </w:tc>
        <w:tc>
          <w:tcPr>
            <w:tcW w:w="1361"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海月</w:t>
            </w:r>
          </w:p>
        </w:tc>
        <w:tc>
          <w:tcPr>
            <w:tcW w:w="5068"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r w:rsidRPr="00842989">
              <w:rPr>
                <w:rFonts w:ascii="標楷體" w:eastAsia="標楷體" w:hAnsi="標楷體" w:cs="標楷體"/>
                <w:kern w:val="0"/>
                <w:szCs w:val="24"/>
                <w:bdr w:val="nil"/>
              </w:rPr>
              <w:t>結合了海洋元素、驚喜元素、客製化、天然元素，設計出特色產品，並且以故事、意象作為包裝</w:t>
            </w:r>
            <w:r w:rsidRPr="00842989">
              <w:rPr>
                <w:rFonts w:ascii="標楷體" w:eastAsia="標楷體" w:hAnsi="標楷體" w:cs="標楷體" w:hint="eastAsia"/>
                <w:kern w:val="0"/>
                <w:szCs w:val="24"/>
                <w:bdr w:val="nil"/>
              </w:rPr>
              <w:t>來製作水族缸佈景，</w:t>
            </w:r>
            <w:r w:rsidRPr="00842989">
              <w:rPr>
                <w:rFonts w:ascii="標楷體" w:eastAsia="標楷體" w:hAnsi="標楷體" w:cs="標楷體"/>
                <w:kern w:val="0"/>
                <w:szCs w:val="24"/>
                <w:bdr w:val="nil"/>
              </w:rPr>
              <w:t>藉以產生驚喜感，並以新的眼光來重新認識海洋。</w:t>
            </w:r>
          </w:p>
        </w:tc>
        <w:tc>
          <w:tcPr>
            <w:tcW w:w="1794"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r w:rsidRPr="00842989">
              <w:rPr>
                <w:rFonts w:ascii="標楷體" w:eastAsia="標楷體" w:hAnsi="標楷體" w:cs="標楷體"/>
                <w:kern w:val="0"/>
                <w:szCs w:val="24"/>
                <w:bdr w:val="nil"/>
              </w:rPr>
              <w:t>海洋大學文化創意產業發展成果發表會第一名</w:t>
            </w:r>
          </w:p>
        </w:tc>
      </w:tr>
      <w:tr w:rsidR="00842989" w:rsidRPr="00842989" w:rsidTr="00400C63">
        <w:tc>
          <w:tcPr>
            <w:tcW w:w="568" w:type="dxa"/>
            <w:vAlign w:val="center"/>
          </w:tcPr>
          <w:p w:rsidR="00842989" w:rsidRPr="00842989" w:rsidRDefault="00842989" w:rsidP="00842989">
            <w:pPr>
              <w:widowControl/>
              <w:pBdr>
                <w:top w:val="nil"/>
                <w:left w:val="nil"/>
                <w:bottom w:val="nil"/>
                <w:right w:val="nil"/>
                <w:between w:val="nil"/>
                <w:bar w:val="nil"/>
              </w:pBdr>
              <w:jc w:val="cente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lastRenderedPageBreak/>
              <w:t>11</w:t>
            </w:r>
          </w:p>
        </w:tc>
        <w:tc>
          <w:tcPr>
            <w:tcW w:w="1190"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修平科技大學</w:t>
            </w:r>
          </w:p>
        </w:tc>
        <w:tc>
          <w:tcPr>
            <w:tcW w:w="1361"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水沐苑</w:t>
            </w:r>
          </w:p>
        </w:tc>
        <w:tc>
          <w:tcPr>
            <w:tcW w:w="5068"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r w:rsidRPr="00842989">
              <w:rPr>
                <w:rFonts w:ascii="標楷體" w:eastAsia="標楷體" w:hAnsi="標楷體" w:cs="標楷體"/>
                <w:kern w:val="0"/>
                <w:szCs w:val="24"/>
                <w:bdr w:val="nil"/>
              </w:rPr>
              <w:t>水沐苑團隊的組長卓家均從小就希望能用自己的力量改善周遭的環境，對社會做出貢獻。在進入修平科大並參加了霧太達利在地創業計畫後，終於能實現小時候的夢想。由於家均是能源材料系，對於製作香皂、洗髮精、牙膏等產品樣樣皆精通。因此，在決定創業內容時選用自己最擅長的手工皂。不像市面上販售的香皂添加了許多化工成分、工業原料，水沐苑的每塊手工皂都是採用純天然、對人體無害的成分下去製作，使用起來清爽舒適，特別適合皮膚過敏的人使用。由於肥皂成分自然，使用後的汙水並不會造成土地汙染，環保又健康。水沐苑的經營理念是秉持手作、良心天然、解決在地、關懷教育、服務真誠、體驗真實。希望能藉著團隊小小的力量為地球盡一份心力。</w:t>
            </w:r>
          </w:p>
        </w:tc>
        <w:tc>
          <w:tcPr>
            <w:tcW w:w="1794"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r w:rsidRPr="00842989">
              <w:rPr>
                <w:rFonts w:ascii="標楷體" w:eastAsia="標楷體" w:hAnsi="標楷體" w:cs="標楷體"/>
                <w:kern w:val="0"/>
                <w:szCs w:val="24"/>
                <w:bdr w:val="nil"/>
              </w:rPr>
              <w:t>修平科技大學霧太達利創新創業競賽入圍</w:t>
            </w:r>
          </w:p>
        </w:tc>
      </w:tr>
      <w:tr w:rsidR="00842989" w:rsidRPr="00842989" w:rsidTr="00400C63">
        <w:tc>
          <w:tcPr>
            <w:tcW w:w="568" w:type="dxa"/>
            <w:vAlign w:val="center"/>
          </w:tcPr>
          <w:p w:rsidR="00842989" w:rsidRPr="00842989" w:rsidRDefault="00842989" w:rsidP="00842989">
            <w:pPr>
              <w:widowControl/>
              <w:pBdr>
                <w:top w:val="nil"/>
                <w:left w:val="nil"/>
                <w:bottom w:val="nil"/>
                <w:right w:val="nil"/>
                <w:between w:val="nil"/>
                <w:bar w:val="nil"/>
              </w:pBdr>
              <w:jc w:val="cente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12</w:t>
            </w:r>
          </w:p>
        </w:tc>
        <w:tc>
          <w:tcPr>
            <w:tcW w:w="1190"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校外團隊</w:t>
            </w:r>
          </w:p>
        </w:tc>
        <w:tc>
          <w:tcPr>
            <w:tcW w:w="1361"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WeCare</w:t>
            </w:r>
          </w:p>
        </w:tc>
        <w:tc>
          <w:tcPr>
            <w:tcW w:w="5068"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r w:rsidRPr="00842989">
              <w:rPr>
                <w:rFonts w:ascii="標楷體" w:eastAsia="標楷體" w:hAnsi="標楷體" w:cs="標楷體"/>
                <w:kern w:val="0"/>
                <w:szCs w:val="24"/>
                <w:bdr w:val="nil"/>
              </w:rPr>
              <w:t>隨心所欲的公益平臺，將愛心傳遞至每一個地方。使用者可以在這裡找到各種善行專案，只要按下一個按鈕，就能參與你所關注的專案。在這裡，志同道合的朋友們將可以發揮所長，有錢出錢、有力出力，藉由分工合作，做好事也能高效率。</w:t>
            </w:r>
          </w:p>
        </w:tc>
        <w:tc>
          <w:tcPr>
            <w:tcW w:w="1794"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p>
        </w:tc>
      </w:tr>
      <w:tr w:rsidR="00842989" w:rsidRPr="00842989" w:rsidTr="00400C63">
        <w:tc>
          <w:tcPr>
            <w:tcW w:w="568" w:type="dxa"/>
            <w:vAlign w:val="center"/>
          </w:tcPr>
          <w:p w:rsidR="00842989" w:rsidRPr="00842989" w:rsidRDefault="00842989" w:rsidP="00842989">
            <w:pPr>
              <w:widowControl/>
              <w:pBdr>
                <w:top w:val="nil"/>
                <w:left w:val="nil"/>
                <w:bottom w:val="nil"/>
                <w:right w:val="nil"/>
                <w:between w:val="nil"/>
                <w:bar w:val="nil"/>
              </w:pBdr>
              <w:jc w:val="cente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13</w:t>
            </w:r>
          </w:p>
        </w:tc>
        <w:tc>
          <w:tcPr>
            <w:tcW w:w="1190"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國立東華大學</w:t>
            </w:r>
          </w:p>
        </w:tc>
        <w:tc>
          <w:tcPr>
            <w:tcW w:w="1361"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rPr>
            </w:pPr>
            <w:r w:rsidRPr="00842989">
              <w:rPr>
                <w:rFonts w:ascii="標楷體" w:eastAsia="標楷體" w:hAnsi="標楷體" w:cs="標楷體"/>
                <w:kern w:val="0"/>
                <w:szCs w:val="24"/>
                <w:bdr w:val="nil"/>
              </w:rPr>
              <w:t>洄潮流環境改善工作室</w:t>
            </w:r>
          </w:p>
        </w:tc>
        <w:tc>
          <w:tcPr>
            <w:tcW w:w="5068" w:type="dxa"/>
          </w:tcPr>
          <w:p w:rsidR="00842989" w:rsidRPr="00842989" w:rsidRDefault="00842989" w:rsidP="00842989">
            <w:pPr>
              <w:pBdr>
                <w:top w:val="nil"/>
                <w:left w:val="nil"/>
                <w:bottom w:val="nil"/>
                <w:right w:val="nil"/>
                <w:between w:val="nil"/>
                <w:bar w:val="nil"/>
              </w:pBdr>
              <w:jc w:val="both"/>
              <w:rPr>
                <w:rFonts w:ascii="標楷體" w:eastAsia="標楷體" w:hAnsi="標楷體" w:cs="Times New Roman"/>
                <w:kern w:val="0"/>
                <w:szCs w:val="24"/>
                <w:bdr w:val="nil"/>
              </w:rPr>
            </w:pPr>
            <w:r w:rsidRPr="00842989">
              <w:rPr>
                <w:rFonts w:ascii="標楷體" w:eastAsia="標楷體" w:hAnsi="標楷體" w:cs="細明體" w:hint="eastAsia"/>
                <w:kern w:val="0"/>
                <w:szCs w:val="24"/>
                <w:bdr w:val="nil"/>
              </w:rPr>
              <w:t>洄是花蓮舊稱為「洄」瀾；奇萊潮是太平洋的黑「潮」；浪花流是浮木隨波竹「流」，終將於此處靠岸，希望能將生活中的環境，微小但持續地逐步改善。不論是飲食、衣著、清潔、生活小物、居住空間、旅遊等環境，都朝向「貼近自然、健康環保」的目標前進，讓你我的生活，以及地球的大環境成為美好的仙境。</w:t>
            </w:r>
          </w:p>
        </w:tc>
        <w:tc>
          <w:tcPr>
            <w:tcW w:w="1794"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好事友善小舖</w:t>
            </w:r>
          </w:p>
        </w:tc>
      </w:tr>
      <w:tr w:rsidR="00842989" w:rsidRPr="00842989" w:rsidTr="00400C63">
        <w:tc>
          <w:tcPr>
            <w:tcW w:w="568" w:type="dxa"/>
            <w:vAlign w:val="center"/>
          </w:tcPr>
          <w:p w:rsidR="00842989" w:rsidRPr="00842989" w:rsidRDefault="00842989" w:rsidP="00842989">
            <w:pPr>
              <w:widowControl/>
              <w:pBdr>
                <w:top w:val="nil"/>
                <w:left w:val="nil"/>
                <w:bottom w:val="nil"/>
                <w:right w:val="nil"/>
                <w:between w:val="nil"/>
                <w:bar w:val="nil"/>
              </w:pBdr>
              <w:jc w:val="cente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14</w:t>
            </w:r>
          </w:p>
        </w:tc>
        <w:tc>
          <w:tcPr>
            <w:tcW w:w="1190"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修平科技大學</w:t>
            </w:r>
          </w:p>
        </w:tc>
        <w:tc>
          <w:tcPr>
            <w:tcW w:w="1361"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工手作</w:t>
            </w:r>
          </w:p>
        </w:tc>
        <w:tc>
          <w:tcPr>
            <w:tcW w:w="5068"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r w:rsidRPr="00842989">
              <w:rPr>
                <w:rFonts w:ascii="標楷體" w:eastAsia="標楷體" w:hAnsi="標楷體" w:cs="標楷體"/>
                <w:kern w:val="0"/>
                <w:szCs w:val="24"/>
                <w:bdr w:val="nil"/>
              </w:rPr>
              <w:t>工手作創業團隊的開始是因為霧太達利在地創業計畫，組長林宏政自從參與了在地工藝的課程後便萌生了想創業的念頭，於是找了班上幾位有興趣的同學一起創業，但對於要怎麼創業、要賣什麼、所需資源都很模糊，幸好有老師和許多貴人幫助，團隊的核心價值漸漸明朗，而創業基金的部分，則藉由參加霧太達利舉辦的創新創業競賽得到了所需的創業經費。經過多次的討論與改變，工手作決定生產手工布包。和市面上手工包的區別是，工手作以在地種子為素材，利用手繪提升獨特性。未來希望朝向</w:t>
            </w:r>
            <w:r w:rsidRPr="00842989">
              <w:rPr>
                <w:rFonts w:ascii="標楷體" w:eastAsia="標楷體" w:hAnsi="標楷體" w:cs="標楷體"/>
                <w:kern w:val="0"/>
                <w:szCs w:val="24"/>
                <w:bdr w:val="nil"/>
              </w:rPr>
              <w:lastRenderedPageBreak/>
              <w:t>創意市集發展，創造出融合創新與在地元素的品牌。</w:t>
            </w:r>
          </w:p>
        </w:tc>
        <w:tc>
          <w:tcPr>
            <w:tcW w:w="1794"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r w:rsidRPr="00842989">
              <w:rPr>
                <w:rFonts w:ascii="標楷體" w:eastAsia="標楷體" w:hAnsi="標楷體" w:cs="標楷體"/>
                <w:kern w:val="0"/>
                <w:szCs w:val="24"/>
                <w:bdr w:val="nil"/>
              </w:rPr>
              <w:lastRenderedPageBreak/>
              <w:t>修平科技大學霧太達利創新創業競賽入圍</w:t>
            </w:r>
          </w:p>
        </w:tc>
      </w:tr>
      <w:tr w:rsidR="00842989" w:rsidRPr="00842989" w:rsidTr="00400C63">
        <w:tc>
          <w:tcPr>
            <w:tcW w:w="568" w:type="dxa"/>
            <w:vAlign w:val="center"/>
          </w:tcPr>
          <w:p w:rsidR="00842989" w:rsidRPr="00842989" w:rsidRDefault="00842989" w:rsidP="00842989">
            <w:pPr>
              <w:widowControl/>
              <w:pBdr>
                <w:top w:val="nil"/>
                <w:left w:val="nil"/>
                <w:bottom w:val="nil"/>
                <w:right w:val="nil"/>
                <w:between w:val="nil"/>
                <w:bar w:val="nil"/>
              </w:pBdr>
              <w:jc w:val="cente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lastRenderedPageBreak/>
              <w:t>15</w:t>
            </w:r>
          </w:p>
        </w:tc>
        <w:tc>
          <w:tcPr>
            <w:tcW w:w="1190"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Times New Roman" w:hint="eastAsia"/>
                <w:kern w:val="0"/>
                <w:szCs w:val="24"/>
                <w:bdr w:val="nil"/>
              </w:rPr>
              <w:t>校外團隊</w:t>
            </w:r>
          </w:p>
        </w:tc>
        <w:tc>
          <w:tcPr>
            <w:tcW w:w="1361"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Times New Roman" w:hint="eastAsia"/>
                <w:kern w:val="0"/>
                <w:szCs w:val="24"/>
                <w:bdr w:val="nil"/>
              </w:rPr>
              <w:t>180DC台灣團隊</w:t>
            </w:r>
          </w:p>
        </w:tc>
        <w:tc>
          <w:tcPr>
            <w:tcW w:w="5068"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r w:rsidRPr="00842989">
              <w:rPr>
                <w:rFonts w:ascii="標楷體" w:eastAsia="標楷體" w:hAnsi="標楷體" w:cs="Times New Roman" w:hint="eastAsia"/>
                <w:kern w:val="0"/>
                <w:szCs w:val="24"/>
                <w:bdr w:val="nil"/>
              </w:rPr>
              <w:t>長久以來，許多非營利組織與社會企業存在組織策略、行銷發展的顧問需求，但礙於預算限制及成本效益考量，無法聘僱以營利為目的之顧問公司提供專業服務；另一方面，許多渴望在顧問領域投注熱情的大學生，亦缺少機會能將所學結合到實務工作中。180DC台灣團隊致力於協助這些充滿天賦的學生養成顧問能力，並將資源連結至最需要的機構。</w:t>
            </w:r>
          </w:p>
        </w:tc>
        <w:tc>
          <w:tcPr>
            <w:tcW w:w="1794"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p>
        </w:tc>
      </w:tr>
      <w:tr w:rsidR="00842989" w:rsidRPr="00842989" w:rsidTr="00400C63">
        <w:tc>
          <w:tcPr>
            <w:tcW w:w="568" w:type="dxa"/>
            <w:vAlign w:val="center"/>
          </w:tcPr>
          <w:p w:rsidR="00842989" w:rsidRPr="00842989" w:rsidRDefault="00842989" w:rsidP="00842989">
            <w:pPr>
              <w:widowControl/>
              <w:pBdr>
                <w:top w:val="nil"/>
                <w:left w:val="nil"/>
                <w:bottom w:val="nil"/>
                <w:right w:val="nil"/>
                <w:between w:val="nil"/>
                <w:bar w:val="nil"/>
              </w:pBdr>
              <w:jc w:val="cente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16</w:t>
            </w:r>
          </w:p>
        </w:tc>
        <w:tc>
          <w:tcPr>
            <w:tcW w:w="1190"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國立東華大學</w:t>
            </w:r>
          </w:p>
        </w:tc>
        <w:tc>
          <w:tcPr>
            <w:tcW w:w="1361"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丰單車</w:t>
            </w:r>
          </w:p>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p>
        </w:tc>
        <w:tc>
          <w:tcPr>
            <w:tcW w:w="5068"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r w:rsidRPr="00842989">
              <w:rPr>
                <w:rFonts w:ascii="標楷體" w:eastAsia="標楷體" w:hAnsi="標楷體" w:cs="標楷體"/>
                <w:kern w:val="0"/>
                <w:szCs w:val="24"/>
                <w:bdr w:val="nil"/>
              </w:rPr>
              <w:t>從校園廢棄單車再生的行動裡成長出來的單車合做運動，經過三年後擴展成單車合做社(東華公共單車)、社區單車合做工作室(丰單車)、社區單車合做專案(單車愛循環)。不但透過廢棄再生的過程創造校園的綠色行動與社區的單車教育之可能，並將社區型單車工作室的通路革命作為解決偏鄉社區單車資源稀少的一種可能，企圖透過商業運作與非營利專案的配合，共同解決偏鄉孩童的單車教育缺口。</w:t>
            </w:r>
          </w:p>
        </w:tc>
        <w:tc>
          <w:tcPr>
            <w:tcW w:w="1794"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p>
        </w:tc>
      </w:tr>
      <w:tr w:rsidR="00842989" w:rsidRPr="00842989" w:rsidTr="00400C63">
        <w:tc>
          <w:tcPr>
            <w:tcW w:w="568" w:type="dxa"/>
            <w:vAlign w:val="center"/>
          </w:tcPr>
          <w:p w:rsidR="00842989" w:rsidRPr="00842989" w:rsidRDefault="00842989" w:rsidP="00842989">
            <w:pPr>
              <w:widowControl/>
              <w:pBdr>
                <w:top w:val="nil"/>
                <w:left w:val="nil"/>
                <w:bottom w:val="nil"/>
                <w:right w:val="nil"/>
                <w:between w:val="nil"/>
                <w:bar w:val="nil"/>
              </w:pBdr>
              <w:jc w:val="cente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17</w:t>
            </w:r>
          </w:p>
        </w:tc>
        <w:tc>
          <w:tcPr>
            <w:tcW w:w="1190"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靜宜大學</w:t>
            </w:r>
          </w:p>
        </w:tc>
        <w:tc>
          <w:tcPr>
            <w:tcW w:w="1361"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Pusher</w:t>
            </w:r>
          </w:p>
        </w:tc>
        <w:tc>
          <w:tcPr>
            <w:tcW w:w="5068"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r w:rsidRPr="00842989">
              <w:rPr>
                <w:rFonts w:ascii="標楷體" w:eastAsia="標楷體" w:hAnsi="標楷體" w:cs="標楷體"/>
                <w:kern w:val="0"/>
                <w:szCs w:val="24"/>
                <w:bdr w:val="nil"/>
              </w:rPr>
              <w:t>Pusher，為推動者之意，我們就像學童們隱形的推手，使之前進。看到臺灣社會的教育問題，想藉由團隊的力量去改變教育，希望他們成為未來的推動者，繼續push下一代的學童，並擴大及延續我們的價值主張。 透過從小紮根，用富有趣味性、參與性的活動來引發學童達到我們的價值主張—主動學習、獨立思考、付諸實踐。從原地接受資訊，推動他們踏出主動的腳步，讓被動式的學習變成主動學習，再經由思考，選擇自己要走的方向，最終能付諸實踐目標。</w:t>
            </w:r>
          </w:p>
        </w:tc>
        <w:tc>
          <w:tcPr>
            <w:tcW w:w="1794"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r w:rsidRPr="00842989">
              <w:rPr>
                <w:rFonts w:ascii="標楷體" w:eastAsia="標楷體" w:hAnsi="標楷體" w:cs="標楷體"/>
                <w:kern w:val="0"/>
                <w:szCs w:val="24"/>
                <w:bdr w:val="nil"/>
              </w:rPr>
              <w:t>靜宜大學第二屆Dream Fly 「社會創新‧行動實踐」評審特別獎</w:t>
            </w:r>
          </w:p>
        </w:tc>
      </w:tr>
      <w:tr w:rsidR="00842989" w:rsidRPr="00842989" w:rsidTr="00400C63">
        <w:tc>
          <w:tcPr>
            <w:tcW w:w="568" w:type="dxa"/>
            <w:vAlign w:val="center"/>
          </w:tcPr>
          <w:p w:rsidR="00842989" w:rsidRPr="00842989" w:rsidRDefault="00842989" w:rsidP="00842989">
            <w:pPr>
              <w:widowControl/>
              <w:pBdr>
                <w:top w:val="nil"/>
                <w:left w:val="nil"/>
                <w:bottom w:val="nil"/>
                <w:right w:val="nil"/>
                <w:between w:val="nil"/>
                <w:bar w:val="nil"/>
              </w:pBdr>
              <w:jc w:val="cente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18</w:t>
            </w:r>
          </w:p>
        </w:tc>
        <w:tc>
          <w:tcPr>
            <w:tcW w:w="1190"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校外團隊</w:t>
            </w:r>
          </w:p>
        </w:tc>
        <w:tc>
          <w:tcPr>
            <w:tcW w:w="1361"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Hahow 好學校</w:t>
            </w:r>
          </w:p>
        </w:tc>
        <w:tc>
          <w:tcPr>
            <w:tcW w:w="5068"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r w:rsidRPr="00842989">
              <w:rPr>
                <w:rFonts w:ascii="標楷體" w:eastAsia="標楷體" w:hAnsi="標楷體" w:cs="標楷體"/>
                <w:kern w:val="0"/>
                <w:szCs w:val="24"/>
                <w:bdr w:val="nil"/>
              </w:rPr>
              <w:t>「Hahow」取意於臺語的「學校」，是一個學生可以號召募集課程內容、老師可以提案募資開課的教學預購平臺。用學習需求來決定課程供給的方式，來解決跨領域學習門檻過高、既有線上教學內容不符合期待的問題。長期以來我們的教育環境，只有上對下的填鴨式學習，卻沒有讓學生「自己決定」課程內容的餘地，導致學習動機不高，老師也不瞭解學生需求等問題。在這個多元學習變得越來越重要的年代，Hahow期待透過線上集資募課，讓大家可以自己決定</w:t>
            </w:r>
            <w:r w:rsidRPr="00842989">
              <w:rPr>
                <w:rFonts w:ascii="標楷體" w:eastAsia="標楷體" w:hAnsi="標楷體" w:cs="標楷體"/>
                <w:kern w:val="0"/>
                <w:szCs w:val="24"/>
                <w:bdr w:val="nil"/>
              </w:rPr>
              <w:lastRenderedPageBreak/>
              <w:t>想學的內容，並提供方便互動的平臺功能，把線上教學變得更方便有趣。</w:t>
            </w:r>
          </w:p>
        </w:tc>
        <w:tc>
          <w:tcPr>
            <w:tcW w:w="1794"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p>
        </w:tc>
      </w:tr>
      <w:tr w:rsidR="00842989" w:rsidRPr="00842989" w:rsidTr="00400C63">
        <w:tc>
          <w:tcPr>
            <w:tcW w:w="568" w:type="dxa"/>
            <w:vAlign w:val="center"/>
          </w:tcPr>
          <w:p w:rsidR="00842989" w:rsidRPr="00842989" w:rsidRDefault="00842989" w:rsidP="00842989">
            <w:pPr>
              <w:widowControl/>
              <w:pBdr>
                <w:top w:val="nil"/>
                <w:left w:val="nil"/>
                <w:bottom w:val="nil"/>
                <w:right w:val="nil"/>
                <w:between w:val="nil"/>
                <w:bar w:val="nil"/>
              </w:pBdr>
              <w:jc w:val="cente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lastRenderedPageBreak/>
              <w:t>19</w:t>
            </w:r>
          </w:p>
        </w:tc>
        <w:tc>
          <w:tcPr>
            <w:tcW w:w="1190"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校外團隊</w:t>
            </w:r>
          </w:p>
        </w:tc>
        <w:tc>
          <w:tcPr>
            <w:tcW w:w="1361"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水谷藝術</w:t>
            </w:r>
          </w:p>
        </w:tc>
        <w:tc>
          <w:tcPr>
            <w:tcW w:w="5068"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r w:rsidRPr="00842989">
              <w:rPr>
                <w:rFonts w:ascii="標楷體" w:eastAsia="標楷體" w:hAnsi="標楷體" w:cs="標楷體"/>
                <w:kern w:val="0"/>
                <w:szCs w:val="24"/>
                <w:bdr w:val="nil"/>
              </w:rPr>
              <w:t>水谷藝術是一結合年輕策展人及藝術家組成之替代空間；地上五層樓、地下一層樓，每層樓皆有不同的空間風格。一群年輕人在南萬華，將萬華的老房屋結合設計，成為社區百年來首處藝文空間；並與臺大城鄉所「好加在工作室」合作，保存並發揚地方文化資產「堀仔頭」，為老社區注入新生。</w:t>
            </w:r>
          </w:p>
        </w:tc>
        <w:tc>
          <w:tcPr>
            <w:tcW w:w="1794"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p>
        </w:tc>
      </w:tr>
      <w:tr w:rsidR="00842989" w:rsidRPr="00842989" w:rsidTr="00400C63">
        <w:tc>
          <w:tcPr>
            <w:tcW w:w="568" w:type="dxa"/>
            <w:vAlign w:val="center"/>
          </w:tcPr>
          <w:p w:rsidR="00842989" w:rsidRPr="00842989" w:rsidRDefault="00842989" w:rsidP="00842989">
            <w:pPr>
              <w:widowControl/>
              <w:pBdr>
                <w:top w:val="nil"/>
                <w:left w:val="nil"/>
                <w:bottom w:val="nil"/>
                <w:right w:val="nil"/>
                <w:between w:val="nil"/>
                <w:bar w:val="nil"/>
              </w:pBdr>
              <w:jc w:val="cente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20</w:t>
            </w:r>
          </w:p>
        </w:tc>
        <w:tc>
          <w:tcPr>
            <w:tcW w:w="1190"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校外團隊</w:t>
            </w:r>
          </w:p>
        </w:tc>
        <w:tc>
          <w:tcPr>
            <w:tcW w:w="1361" w:type="dxa"/>
          </w:tcPr>
          <w:p w:rsidR="00842989" w:rsidRPr="00842989" w:rsidRDefault="00842989" w:rsidP="00842989">
            <w:pPr>
              <w:widowControl/>
              <w:pBdr>
                <w:top w:val="nil"/>
                <w:left w:val="nil"/>
                <w:bottom w:val="nil"/>
                <w:right w:val="nil"/>
                <w:between w:val="nil"/>
                <w:bar w:val="nil"/>
              </w:pBdr>
              <w:rPr>
                <w:rFonts w:ascii="標楷體" w:eastAsia="標楷體" w:hAnsi="標楷體" w:cs="Times New Roman"/>
                <w:kern w:val="0"/>
                <w:szCs w:val="24"/>
                <w:bdr w:val="nil"/>
                <w:lang w:eastAsia="en-US"/>
              </w:rPr>
            </w:pPr>
            <w:r w:rsidRPr="00842989">
              <w:rPr>
                <w:rFonts w:ascii="標楷體" w:eastAsia="標楷體" w:hAnsi="標楷體" w:cs="標楷體"/>
                <w:kern w:val="0"/>
                <w:szCs w:val="24"/>
                <w:bdr w:val="nil"/>
                <w:lang w:eastAsia="en-US"/>
              </w:rPr>
              <w:t>阿普蛙工作室</w:t>
            </w:r>
          </w:p>
        </w:tc>
        <w:tc>
          <w:tcPr>
            <w:tcW w:w="5068"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r w:rsidRPr="00842989">
              <w:rPr>
                <w:rFonts w:ascii="標楷體" w:eastAsia="標楷體" w:hAnsi="標楷體" w:cs="標楷體"/>
                <w:kern w:val="0"/>
                <w:szCs w:val="24"/>
                <w:bdr w:val="nil"/>
              </w:rPr>
              <w:t>Wa's UP 阿普蛙工作室致力於用遊戲影響教育，讓兒童及青少年能夠以有趣的方式，學習現代公民思維 (獨立思考、社會關懷…等)，同時也利用多餘時間，嘗試將遊戲以及學術理論結合。由8位平均年齡不超過30歲、由社工、教師、心理學與統計學相關人才組成的工作室，嘗試利用遊戲「翻轉教育」，讓年輕人不再是井底之蛙，而是具有獨立思考能力的公民。</w:t>
            </w:r>
          </w:p>
        </w:tc>
        <w:tc>
          <w:tcPr>
            <w:tcW w:w="1794" w:type="dxa"/>
          </w:tcPr>
          <w:p w:rsidR="00842989" w:rsidRPr="00842989" w:rsidRDefault="00842989" w:rsidP="00842989">
            <w:pPr>
              <w:widowControl/>
              <w:pBdr>
                <w:top w:val="nil"/>
                <w:left w:val="nil"/>
                <w:bottom w:val="nil"/>
                <w:right w:val="nil"/>
                <w:between w:val="nil"/>
                <w:bar w:val="nil"/>
              </w:pBdr>
              <w:jc w:val="both"/>
              <w:rPr>
                <w:rFonts w:ascii="標楷體" w:eastAsia="標楷體" w:hAnsi="標楷體" w:cs="Times New Roman"/>
                <w:kern w:val="0"/>
                <w:szCs w:val="24"/>
                <w:bdr w:val="nil"/>
              </w:rPr>
            </w:pPr>
          </w:p>
        </w:tc>
      </w:tr>
    </w:tbl>
    <w:p w:rsidR="00842989" w:rsidRPr="00842989" w:rsidRDefault="00842989" w:rsidP="00842989">
      <w:pPr>
        <w:widowControl/>
        <w:pBdr>
          <w:top w:val="nil"/>
          <w:left w:val="nil"/>
          <w:bottom w:val="nil"/>
          <w:right w:val="nil"/>
          <w:between w:val="nil"/>
          <w:bar w:val="nil"/>
        </w:pBdr>
        <w:spacing w:line="480" w:lineRule="exact"/>
        <w:rPr>
          <w:rFonts w:ascii="標楷體" w:eastAsia="標楷體" w:hAnsi="標楷體" w:cs="Times New Roman"/>
          <w:kern w:val="0"/>
          <w:szCs w:val="24"/>
          <w:bdr w:val="nil"/>
        </w:rPr>
      </w:pPr>
    </w:p>
    <w:p w:rsidR="00073809" w:rsidRPr="00842989" w:rsidRDefault="00073809">
      <w:bookmarkStart w:id="1" w:name="_GoBack"/>
      <w:bookmarkEnd w:id="1"/>
    </w:p>
    <w:sectPr w:rsidR="00073809" w:rsidRPr="00842989" w:rsidSect="00460408">
      <w:pgSz w:w="11906" w:h="16838"/>
      <w:pgMar w:top="1021" w:right="1134" w:bottom="709"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89"/>
    <w:rsid w:val="00073809"/>
    <w:rsid w:val="008429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B006F-DE78-4579-81B8-8E53195D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moejsmpc</cp:lastModifiedBy>
  <cp:revision>1</cp:revision>
  <dcterms:created xsi:type="dcterms:W3CDTF">2015-03-12T08:01:00Z</dcterms:created>
  <dcterms:modified xsi:type="dcterms:W3CDTF">2015-03-12T08:01:00Z</dcterms:modified>
</cp:coreProperties>
</file>