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8B" w:rsidRDefault="00AC2C8B" w:rsidP="00AC2C8B">
      <w:pPr>
        <w:spacing w:line="440" w:lineRule="exact"/>
        <w:jc w:val="both"/>
        <w:rPr>
          <w:rFonts w:ascii="標楷體" w:eastAsia="標楷體" w:hAnsi="標楷體"/>
          <w:b/>
          <w:sz w:val="28"/>
        </w:rPr>
      </w:pPr>
      <w:r w:rsidRPr="002F115B">
        <w:rPr>
          <w:rFonts w:ascii="標楷體" w:eastAsia="標楷體" w:hAnsi="標楷體"/>
          <w:b/>
          <w:sz w:val="28"/>
        </w:rPr>
        <w:t>附件</w:t>
      </w:r>
      <w:r w:rsidRPr="002F115B">
        <w:rPr>
          <w:rFonts w:ascii="標楷體" w:eastAsia="標楷體" w:hAnsi="標楷體" w:hint="eastAsia"/>
          <w:b/>
          <w:sz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教育部</w:t>
      </w:r>
      <w:r w:rsidRPr="002F115B">
        <w:rPr>
          <w:rFonts w:ascii="標楷體" w:eastAsia="標楷體" w:hAnsi="標楷體" w:hint="eastAsia"/>
          <w:b/>
          <w:sz w:val="28"/>
          <w:szCs w:val="28"/>
        </w:rPr>
        <w:t>107年審查各地方政府辦理社區大學業務績優縣市頒獎</w:t>
      </w:r>
      <w:r>
        <w:rPr>
          <w:rFonts w:ascii="標楷體" w:eastAsia="標楷體" w:hAnsi="標楷體"/>
          <w:b/>
          <w:sz w:val="28"/>
          <w:szCs w:val="28"/>
        </w:rPr>
        <w:t>獎項簡介及受獎名單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127"/>
        <w:gridCol w:w="8221"/>
      </w:tblGrid>
      <w:tr w:rsidR="00AC2C8B" w:rsidRPr="002F115B" w:rsidTr="005C414A">
        <w:trPr>
          <w:jc w:val="center"/>
        </w:trPr>
        <w:tc>
          <w:tcPr>
            <w:tcW w:w="2127" w:type="dxa"/>
            <w:vAlign w:val="center"/>
          </w:tcPr>
          <w:p w:rsidR="00AC2C8B" w:rsidRPr="002F115B" w:rsidRDefault="00AC2C8B" w:rsidP="005C4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ascii="標楷體" w:eastAsia="標楷體" w:hAnsi="標楷體" w:hint="eastAsia"/>
                <w:sz w:val="28"/>
                <w:szCs w:val="28"/>
              </w:rPr>
              <w:t>獎項名稱</w:t>
            </w:r>
          </w:p>
        </w:tc>
        <w:tc>
          <w:tcPr>
            <w:tcW w:w="8221" w:type="dxa"/>
          </w:tcPr>
          <w:p w:rsidR="00AC2C8B" w:rsidRPr="002F115B" w:rsidRDefault="00AC2C8B" w:rsidP="005C414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Pr="002F115B">
              <w:rPr>
                <w:rFonts w:ascii="標楷體" w:eastAsia="標楷體" w:hAnsi="標楷體" w:hint="eastAsia"/>
                <w:sz w:val="28"/>
                <w:szCs w:val="28"/>
              </w:rPr>
              <w:t>部107年審查各地方政府辦理社區大學業務績優縣市頒獎</w:t>
            </w:r>
          </w:p>
        </w:tc>
      </w:tr>
      <w:tr w:rsidR="00AC2C8B" w:rsidRPr="002F115B" w:rsidTr="005C414A">
        <w:trPr>
          <w:trHeight w:val="1814"/>
          <w:jc w:val="center"/>
        </w:trPr>
        <w:tc>
          <w:tcPr>
            <w:tcW w:w="2127" w:type="dxa"/>
            <w:vAlign w:val="center"/>
          </w:tcPr>
          <w:p w:rsidR="00AC2C8B" w:rsidRPr="002F115B" w:rsidRDefault="00AC2C8B" w:rsidP="005C4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ascii="標楷體" w:eastAsia="標楷體" w:hAnsi="標楷體" w:hint="eastAsia"/>
                <w:sz w:val="28"/>
                <w:szCs w:val="28"/>
              </w:rPr>
              <w:t>獎項簡介</w:t>
            </w:r>
          </w:p>
        </w:tc>
        <w:tc>
          <w:tcPr>
            <w:tcW w:w="8221" w:type="dxa"/>
            <w:vAlign w:val="center"/>
          </w:tcPr>
          <w:p w:rsidR="00AC2C8B" w:rsidRPr="002F115B" w:rsidRDefault="00AC2C8B" w:rsidP="005C41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eastAsia="標楷體"/>
                <w:sz w:val="28"/>
                <w:szCs w:val="28"/>
              </w:rPr>
              <w:t>為提升直轄市、縣（市）政府</w:t>
            </w:r>
            <w:r w:rsidRPr="002F115B">
              <w:rPr>
                <w:rFonts w:eastAsia="標楷體" w:hint="eastAsia"/>
                <w:sz w:val="28"/>
                <w:szCs w:val="28"/>
              </w:rPr>
              <w:t>（以下簡稱地方政府）</w:t>
            </w:r>
            <w:r w:rsidRPr="002F115B">
              <w:rPr>
                <w:rFonts w:eastAsia="標楷體"/>
                <w:sz w:val="28"/>
                <w:szCs w:val="28"/>
              </w:rPr>
              <w:t>推動社區大學辦學與營運</w:t>
            </w:r>
            <w:r w:rsidRPr="002F115B">
              <w:rPr>
                <w:rFonts w:eastAsia="標楷體" w:hint="eastAsia"/>
                <w:sz w:val="28"/>
                <w:szCs w:val="28"/>
              </w:rPr>
              <w:t>成效、</w:t>
            </w:r>
            <w:r w:rsidRPr="002F115B">
              <w:rPr>
                <w:rFonts w:eastAsia="標楷體"/>
                <w:sz w:val="28"/>
                <w:szCs w:val="28"/>
              </w:rPr>
              <w:t>健全社區大學體質，</w:t>
            </w:r>
            <w:r w:rsidRPr="002F115B">
              <w:rPr>
                <w:rFonts w:eastAsia="標楷體" w:hint="eastAsia"/>
                <w:sz w:val="28"/>
                <w:szCs w:val="28"/>
              </w:rPr>
              <w:t>以</w:t>
            </w:r>
            <w:r>
              <w:rPr>
                <w:rFonts w:eastAsia="標楷體"/>
                <w:sz w:val="28"/>
                <w:szCs w:val="28"/>
              </w:rPr>
              <w:t>培育現代化公民並營造終身學習環境，教育部</w:t>
            </w:r>
            <w:r w:rsidRPr="002F115B">
              <w:rPr>
                <w:rFonts w:eastAsia="標楷體"/>
                <w:sz w:val="28"/>
                <w:szCs w:val="28"/>
              </w:rPr>
              <w:t>每年度</w:t>
            </w:r>
            <w:r w:rsidRPr="002F115B">
              <w:rPr>
                <w:rFonts w:eastAsia="標楷體" w:hint="eastAsia"/>
                <w:sz w:val="28"/>
                <w:szCs w:val="28"/>
              </w:rPr>
              <w:t>就</w:t>
            </w:r>
            <w:r w:rsidRPr="002F115B">
              <w:rPr>
                <w:rFonts w:eastAsia="標楷體"/>
                <w:sz w:val="28"/>
                <w:szCs w:val="28"/>
              </w:rPr>
              <w:t>地方政府辦理社區大學業務</w:t>
            </w:r>
            <w:r w:rsidRPr="002F115B">
              <w:rPr>
                <w:rFonts w:eastAsia="標楷體" w:hint="eastAsia"/>
                <w:sz w:val="28"/>
                <w:szCs w:val="28"/>
              </w:rPr>
              <w:t>進行審查</w:t>
            </w:r>
            <w:r w:rsidRPr="002F115B">
              <w:rPr>
                <w:rFonts w:eastAsia="標楷體"/>
                <w:sz w:val="28"/>
                <w:szCs w:val="28"/>
              </w:rPr>
              <w:t>，</w:t>
            </w:r>
            <w:proofErr w:type="gramStart"/>
            <w:r w:rsidRPr="002F115B">
              <w:rPr>
                <w:rFonts w:eastAsia="標楷體"/>
                <w:sz w:val="28"/>
                <w:szCs w:val="28"/>
              </w:rPr>
              <w:t>並</w:t>
            </w:r>
            <w:r w:rsidRPr="002F115B">
              <w:rPr>
                <w:rFonts w:eastAsia="標楷體" w:hint="eastAsia"/>
                <w:sz w:val="28"/>
                <w:szCs w:val="28"/>
              </w:rPr>
              <w:t>就</w:t>
            </w:r>
            <w:r w:rsidRPr="002F115B">
              <w:rPr>
                <w:rFonts w:eastAsia="標楷體"/>
                <w:sz w:val="28"/>
                <w:szCs w:val="28"/>
              </w:rPr>
              <w:t>績優</w:t>
            </w:r>
            <w:proofErr w:type="gramEnd"/>
            <w:r w:rsidRPr="002F115B">
              <w:rPr>
                <w:rFonts w:eastAsia="標楷體" w:hint="eastAsia"/>
                <w:sz w:val="28"/>
                <w:szCs w:val="28"/>
              </w:rPr>
              <w:t>之地方政府</w:t>
            </w:r>
            <w:r w:rsidRPr="002F115B">
              <w:rPr>
                <w:rFonts w:eastAsia="標楷體"/>
                <w:sz w:val="28"/>
                <w:szCs w:val="28"/>
              </w:rPr>
              <w:t>頒發獎座公開表揚，以資鼓勵。</w:t>
            </w:r>
          </w:p>
        </w:tc>
      </w:tr>
      <w:tr w:rsidR="00AC2C8B" w:rsidRPr="002F115B" w:rsidTr="005C414A">
        <w:trPr>
          <w:trHeight w:val="4243"/>
          <w:jc w:val="center"/>
        </w:trPr>
        <w:tc>
          <w:tcPr>
            <w:tcW w:w="2127" w:type="dxa"/>
            <w:vAlign w:val="center"/>
          </w:tcPr>
          <w:p w:rsidR="00AC2C8B" w:rsidRPr="002F115B" w:rsidRDefault="00AC2C8B" w:rsidP="005C4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ascii="標楷體" w:eastAsia="標楷體" w:hAnsi="標楷體" w:hint="eastAsia"/>
                <w:sz w:val="28"/>
                <w:szCs w:val="28"/>
              </w:rPr>
              <w:t>受獎對象</w:t>
            </w:r>
          </w:p>
        </w:tc>
        <w:tc>
          <w:tcPr>
            <w:tcW w:w="8221" w:type="dxa"/>
          </w:tcPr>
          <w:p w:rsidR="00AC2C8B" w:rsidRPr="002F115B" w:rsidRDefault="00AC2C8B" w:rsidP="005C414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F115B">
              <w:rPr>
                <w:rFonts w:eastAsia="標楷體"/>
                <w:sz w:val="28"/>
                <w:szCs w:val="28"/>
              </w:rPr>
              <w:t>「教育部</w:t>
            </w:r>
            <w:proofErr w:type="gramStart"/>
            <w:r w:rsidRPr="002F115B">
              <w:rPr>
                <w:rFonts w:eastAsia="標楷體"/>
                <w:sz w:val="28"/>
                <w:szCs w:val="28"/>
              </w:rPr>
              <w:t>107</w:t>
            </w:r>
            <w:proofErr w:type="gramEnd"/>
            <w:r w:rsidRPr="002F115B">
              <w:rPr>
                <w:rFonts w:eastAsia="標楷體"/>
                <w:sz w:val="28"/>
                <w:szCs w:val="28"/>
              </w:rPr>
              <w:t>年度審查地方政府辦理社區大學業務」獲獎名單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52"/>
              <w:gridCol w:w="1503"/>
              <w:gridCol w:w="1912"/>
              <w:gridCol w:w="3628"/>
            </w:tblGrid>
            <w:tr w:rsidR="00AC2C8B" w:rsidRPr="002F115B" w:rsidTr="005C414A">
              <w:trPr>
                <w:trHeight w:val="474"/>
              </w:trPr>
              <w:tc>
                <w:tcPr>
                  <w:tcW w:w="595" w:type="pct"/>
                  <w:tcBorders>
                    <w:bottom w:val="single" w:sz="12" w:space="0" w:color="auto"/>
                  </w:tcBorders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940" w:type="pct"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縣市別</w:t>
                  </w:r>
                </w:p>
              </w:tc>
              <w:tc>
                <w:tcPr>
                  <w:tcW w:w="1196" w:type="pct"/>
                  <w:tcBorders>
                    <w:bottom w:val="single" w:sz="12" w:space="0" w:color="auto"/>
                  </w:tcBorders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107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年等第</w:t>
                  </w:r>
                </w:p>
              </w:tc>
              <w:tc>
                <w:tcPr>
                  <w:tcW w:w="2269" w:type="pct"/>
                  <w:tcBorders>
                    <w:bottom w:val="single" w:sz="12" w:space="0" w:color="auto"/>
                  </w:tcBorders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備註</w:t>
                  </w: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tcBorders>
                    <w:top w:val="single" w:sz="12" w:space="0" w:color="auto"/>
                  </w:tcBorders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0" w:type="pct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雲林縣</w:t>
                  </w:r>
                </w:p>
              </w:tc>
              <w:tc>
                <w:tcPr>
                  <w:tcW w:w="1196" w:type="pct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特優</w:t>
                  </w:r>
                </w:p>
              </w:tc>
              <w:tc>
                <w:tcPr>
                  <w:tcW w:w="2269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both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依據「補助獎勵及輔導社區大學發展辦法」第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10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、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13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及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14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條等規</w:t>
                  </w:r>
                  <w:bookmarkStart w:id="0" w:name="_GoBack"/>
                  <w:bookmarkEnd w:id="0"/>
                  <w:r w:rsidRPr="002F115B">
                    <w:rPr>
                      <w:rFonts w:eastAsia="標楷體"/>
                      <w:sz w:val="28"/>
                      <w:szCs w:val="28"/>
                    </w:rPr>
                    <w:t>定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辦理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，前一年度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（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106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年）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獲優等以上之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9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個地方政府得免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審查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，餘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12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個地方政府需參與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審查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（連江縣自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105</w:t>
                  </w:r>
                  <w:r w:rsidRPr="002F115B">
                    <w:rPr>
                      <w:rFonts w:eastAsia="標楷體"/>
                      <w:sz w:val="28"/>
                      <w:szCs w:val="28"/>
                    </w:rPr>
                    <w:t>年停辦社區大學，故未參與審查）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，其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審查結果計</w:t>
                  </w:r>
                  <w:r w:rsidRPr="002F115B"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2F115B"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>縣市特優、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5</w:t>
                  </w:r>
                  <w:r w:rsidRPr="002F115B"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>優等、</w:t>
                  </w:r>
                  <w:r w:rsidRPr="002F115B"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>5</w:t>
                  </w:r>
                  <w:r w:rsidRPr="002F115B"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>縣市甲等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、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縣市乙等，獲甲等以上之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11</w:t>
                  </w:r>
                  <w:r w:rsidRPr="002F115B">
                    <w:rPr>
                      <w:rFonts w:eastAsia="標楷體" w:hint="eastAsia"/>
                      <w:b/>
                      <w:sz w:val="28"/>
                      <w:szCs w:val="28"/>
                      <w:u w:val="single"/>
                    </w:rPr>
                    <w:t>個地方政府為本項頒獎對象</w:t>
                  </w:r>
                  <w:r w:rsidRPr="002F115B"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新竹縣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優等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臺</w:t>
                  </w:r>
                  <w:proofErr w:type="gramEnd"/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中市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優等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彰化縣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優等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南投縣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優等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屏東縣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優等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嘉義市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甲等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嘉義縣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甲等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臺</w:t>
                  </w:r>
                  <w:proofErr w:type="gramEnd"/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東縣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甲等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金門縣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甲等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C2C8B" w:rsidRPr="002F115B" w:rsidTr="005C414A">
              <w:trPr>
                <w:trHeight w:val="439"/>
              </w:trPr>
              <w:tc>
                <w:tcPr>
                  <w:tcW w:w="595" w:type="pct"/>
                  <w:vAlign w:val="center"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 w:hint="eastAsia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40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b/>
                      <w:bCs/>
                      <w:sz w:val="28"/>
                      <w:szCs w:val="28"/>
                    </w:rPr>
                    <w:t>澎湖縣</w:t>
                  </w:r>
                </w:p>
              </w:tc>
              <w:tc>
                <w:tcPr>
                  <w:tcW w:w="1196" w:type="pct"/>
                  <w:vAlign w:val="center"/>
                  <w:hideMark/>
                </w:tcPr>
                <w:p w:rsidR="00AC2C8B" w:rsidRPr="002F115B" w:rsidRDefault="00AC2C8B" w:rsidP="005C414A">
                  <w:pPr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F115B">
                    <w:rPr>
                      <w:rFonts w:eastAsia="標楷體"/>
                      <w:sz w:val="28"/>
                      <w:szCs w:val="28"/>
                    </w:rPr>
                    <w:t>甲等</w:t>
                  </w:r>
                </w:p>
              </w:tc>
              <w:tc>
                <w:tcPr>
                  <w:tcW w:w="2269" w:type="pct"/>
                  <w:vMerge/>
                </w:tcPr>
                <w:p w:rsidR="00AC2C8B" w:rsidRPr="002F115B" w:rsidRDefault="00AC2C8B" w:rsidP="005C414A">
                  <w:pPr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AC2C8B" w:rsidRPr="002F115B" w:rsidRDefault="00AC2C8B" w:rsidP="005C414A"/>
          <w:p w:rsidR="00AC2C8B" w:rsidRPr="002F115B" w:rsidRDefault="00AC2C8B" w:rsidP="005C414A"/>
        </w:tc>
      </w:tr>
      <w:tr w:rsidR="00AC2C8B" w:rsidRPr="002F115B" w:rsidTr="005C414A">
        <w:trPr>
          <w:trHeight w:val="1026"/>
          <w:jc w:val="center"/>
        </w:trPr>
        <w:tc>
          <w:tcPr>
            <w:tcW w:w="2127" w:type="dxa"/>
            <w:vAlign w:val="center"/>
          </w:tcPr>
          <w:p w:rsidR="00AC2C8B" w:rsidRPr="002F115B" w:rsidRDefault="00AC2C8B" w:rsidP="005C4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ascii="標楷體" w:eastAsia="標楷體" w:hAnsi="標楷體" w:hint="eastAsia"/>
                <w:sz w:val="28"/>
                <w:szCs w:val="28"/>
              </w:rPr>
              <w:t>頒獎數量</w:t>
            </w:r>
          </w:p>
        </w:tc>
        <w:tc>
          <w:tcPr>
            <w:tcW w:w="8221" w:type="dxa"/>
            <w:vAlign w:val="center"/>
          </w:tcPr>
          <w:p w:rsidR="00AC2C8B" w:rsidRPr="002F115B" w:rsidRDefault="00AC2C8B" w:rsidP="005C41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115B">
              <w:rPr>
                <w:rFonts w:eastAsia="標楷體" w:hint="eastAsia"/>
                <w:sz w:val="28"/>
                <w:szCs w:val="28"/>
              </w:rPr>
              <w:t>107</w:t>
            </w:r>
            <w:proofErr w:type="gramEnd"/>
            <w:r w:rsidRPr="002F115B">
              <w:rPr>
                <w:rFonts w:eastAsia="標楷體" w:hint="eastAsia"/>
                <w:sz w:val="28"/>
                <w:szCs w:val="28"/>
              </w:rPr>
              <w:t>年度計</w:t>
            </w:r>
            <w:r w:rsidRPr="002F115B">
              <w:rPr>
                <w:rFonts w:eastAsia="標楷體" w:hint="eastAsia"/>
                <w:sz w:val="28"/>
                <w:szCs w:val="28"/>
              </w:rPr>
              <w:t>11</w:t>
            </w:r>
            <w:r w:rsidRPr="002F115B">
              <w:rPr>
                <w:rFonts w:eastAsia="標楷體" w:hint="eastAsia"/>
                <w:sz w:val="28"/>
                <w:szCs w:val="28"/>
              </w:rPr>
              <w:t>個地方政府獲獎，頒獎數量共</w:t>
            </w:r>
            <w:r w:rsidRPr="002F115B">
              <w:rPr>
                <w:rFonts w:eastAsia="標楷體" w:hint="eastAsia"/>
                <w:sz w:val="28"/>
                <w:szCs w:val="28"/>
              </w:rPr>
              <w:t>11</w:t>
            </w:r>
            <w:r w:rsidRPr="002F115B">
              <w:rPr>
                <w:rFonts w:eastAsia="標楷體" w:hint="eastAsia"/>
                <w:sz w:val="28"/>
                <w:szCs w:val="28"/>
              </w:rPr>
              <w:t>個。</w:t>
            </w:r>
          </w:p>
        </w:tc>
      </w:tr>
      <w:tr w:rsidR="00AC2C8B" w:rsidRPr="002F115B" w:rsidTr="005C414A">
        <w:trPr>
          <w:jc w:val="center"/>
        </w:trPr>
        <w:tc>
          <w:tcPr>
            <w:tcW w:w="2127" w:type="dxa"/>
            <w:vAlign w:val="center"/>
          </w:tcPr>
          <w:p w:rsidR="00AC2C8B" w:rsidRPr="002F115B" w:rsidRDefault="00AC2C8B" w:rsidP="005C4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ascii="標楷體" w:eastAsia="標楷體" w:hAnsi="標楷體" w:hint="eastAsia"/>
                <w:sz w:val="28"/>
                <w:szCs w:val="28"/>
              </w:rPr>
              <w:t>頒獎所需時間</w:t>
            </w:r>
          </w:p>
        </w:tc>
        <w:tc>
          <w:tcPr>
            <w:tcW w:w="8221" w:type="dxa"/>
          </w:tcPr>
          <w:p w:rsidR="00AC2C8B" w:rsidRPr="002F115B" w:rsidRDefault="00AC2C8B" w:rsidP="005C41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115B">
              <w:rPr>
                <w:rFonts w:eastAsia="標楷體"/>
                <w:sz w:val="28"/>
                <w:szCs w:val="28"/>
              </w:rPr>
              <w:t>約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2F115B">
              <w:rPr>
                <w:rFonts w:eastAsia="標楷體"/>
                <w:sz w:val="28"/>
                <w:szCs w:val="28"/>
              </w:rPr>
              <w:t>分鐘</w:t>
            </w:r>
          </w:p>
        </w:tc>
      </w:tr>
    </w:tbl>
    <w:p w:rsidR="00A4328C" w:rsidRDefault="00A4328C"/>
    <w:sectPr w:rsidR="00A4328C" w:rsidSect="00AC2C8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B"/>
    <w:rsid w:val="00A4328C"/>
    <w:rsid w:val="00A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E5DE5-F9FB-48E3-9119-A86F826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2018-09-28T06:10:00Z</dcterms:created>
  <dcterms:modified xsi:type="dcterms:W3CDTF">2018-09-28T06:11:00Z</dcterms:modified>
</cp:coreProperties>
</file>