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color w:val="auto"/>
        </w:rPr>
      </w:pPr>
      <w:bookmarkStart w:id="0" w:name="_GoBack"/>
      <w:bookmarkEnd w:id="0"/>
      <w:r>
        <w:rPr/>
        <w:drawing>
          <wp:inline distT="0" distB="0" distL="0" distR="0">
            <wp:extent cx="3398520" cy="562610"/>
            <wp:effectExtent l="0" t="0" r="0" b="0"/>
            <wp:docPr id="1" name="圖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40" w:after="0"/>
        <w:rPr>
          <w:rFonts w:ascii="Times New Roman" w:hAnsi="Times New Roman" w:eastAsia="新細明體" w:eastAsiaTheme="minorEastAsia"/>
          <w:b/>
          <w:b/>
          <w:color w:val="auto"/>
          <w:sz w:val="36"/>
          <w:szCs w:val="36"/>
        </w:rPr>
      </w:pPr>
      <w:r>
        <mc:AlternateContent>
          <mc:Choice Requires="wps">
            <w:drawing>
              <wp:anchor behindDoc="0" distT="5080" distB="5080" distL="635" distR="0" simplePos="0" locked="0" layoutInCell="0" allowOverlap="1" relativeHeight="3" wp14:anchorId="186522F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127115" cy="0"/>
                <wp:effectExtent l="635" t="5080" r="0" b="5080"/>
                <wp:wrapNone/>
                <wp:docPr id="2" name="直線接點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2.25pt" to="482.45pt,2.25pt" ID="直線接點 4" stroked="t" o:allowincell="f" style="position:absolute;mso-position-horizontal:left;mso-position-horizontal-relative:margin" wp14:anchorId="186522F3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新細明體" w:ascii="Times New Roman" w:hAnsi="Times New Roman" w:eastAsiaTheme="minorEastAsia"/>
          <w:b/>
          <w:color w:val="auto"/>
          <w:sz w:val="36"/>
          <w:szCs w:val="36"/>
        </w:rPr>
        <w:t xml:space="preserve">Employing Taiwan's Mandarin Teachers / Assistants in the U.S. </w:t>
      </w:r>
    </w:p>
    <w:p>
      <w:pPr>
        <w:pStyle w:val="Normal"/>
        <w:spacing w:before="120" w:after="0"/>
        <w:jc w:val="both"/>
        <w:rPr>
          <w:rFonts w:ascii="Times New Roman" w:hAnsi="Times New Roman" w:eastAsia="新細明體" w:eastAsiaTheme="minorEastAsia"/>
          <w:color w:val="auto"/>
          <w:sz w:val="28"/>
          <w:szCs w:val="28"/>
        </w:rPr>
      </w:pP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In December 2020, Taiwan and the U.S. launched the U.S.-Taiwan Education Initiative, a project designed to strengthen international education collaboration, with a specific focus on language education. In 2023, the two sides announced a three-year strategic plan (2023-2025) to broaden this collaborative effort, extending it to K-12 education and academic alliances between universities in Taiwan and the U.S.</w:t>
      </w:r>
    </w:p>
    <w:p>
      <w:pPr>
        <w:pStyle w:val="Normal"/>
        <w:spacing w:before="240" w:after="0"/>
        <w:jc w:val="both"/>
        <w:rPr>
          <w:rFonts w:ascii="Times New Roman" w:hAnsi="Times New Roman" w:eastAsia="新細明體" w:cs="Times New Roman"/>
          <w:color w:val="auto"/>
          <w:sz w:val="28"/>
          <w:szCs w:val="28"/>
        </w:rPr>
      </w:pP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The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Ministry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of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Education</w:t>
      </w:r>
      <w:r>
        <w:rPr>
          <w:rFonts w:eastAsia="新細明體" w:eastAsiaTheme="minorEastAsia"/>
          <w:color w:val="auto"/>
          <w:sz w:val="28"/>
          <w:szCs w:val="28"/>
        </w:rPr>
        <w:t xml:space="preserve"> (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MOE</w:t>
      </w:r>
      <w:r>
        <w:rPr>
          <w:rFonts w:eastAsia="新細明體" w:eastAsiaTheme="minorEastAsia"/>
          <w:color w:val="auto"/>
          <w:sz w:val="28"/>
          <w:szCs w:val="28"/>
        </w:rPr>
        <w:t xml:space="preserve">)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of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Taiwan</w:t>
      </w:r>
      <w:r>
        <w:rPr>
          <w:rFonts w:eastAsia="新細明體" w:eastAsiaTheme="minorEastAsia"/>
          <w:color w:val="auto"/>
          <w:sz w:val="28"/>
          <w:szCs w:val="28"/>
        </w:rPr>
        <w:t xml:space="preserve">,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committed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to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fostering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global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Mandarin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proficiency</w:t>
      </w:r>
      <w:r>
        <w:rPr>
          <w:rFonts w:eastAsia="新細明體" w:eastAsiaTheme="minorEastAsia"/>
          <w:color w:val="auto"/>
          <w:sz w:val="28"/>
          <w:szCs w:val="28"/>
        </w:rPr>
        <w:t xml:space="preserve">,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has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instituted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comprehensive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financial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aid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program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for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our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highly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trained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Mandarin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teachers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and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teaching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assistants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to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teach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overseas</w:t>
      </w:r>
      <w:r>
        <w:rPr>
          <w:rFonts w:eastAsia="新細明體" w:eastAsiaTheme="minorEastAsia"/>
          <w:color w:val="auto"/>
          <w:sz w:val="28"/>
          <w:szCs w:val="28"/>
        </w:rPr>
        <w:t xml:space="preserve">.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In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2022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alone</w:t>
      </w:r>
      <w:r>
        <w:rPr>
          <w:rFonts w:eastAsia="新細明體" w:eastAsiaTheme="minorEastAsia"/>
          <w:color w:val="auto"/>
          <w:sz w:val="28"/>
          <w:szCs w:val="28"/>
        </w:rPr>
        <w:t xml:space="preserve">,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this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initiative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enabled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32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Mandarin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teachers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and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48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teaching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assistants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to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bring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their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expertise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to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American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classrooms</w:t>
      </w:r>
      <w:r>
        <w:rPr>
          <w:rFonts w:eastAsia="新細明體" w:eastAsiaTheme="minorEastAsia"/>
          <w:color w:val="auto"/>
          <w:sz w:val="28"/>
          <w:szCs w:val="28"/>
        </w:rPr>
        <w:t xml:space="preserve">. </w:t>
      </w:r>
    </w:p>
    <w:p>
      <w:pPr>
        <w:pStyle w:val="Normal"/>
        <w:spacing w:before="120" w:after="0"/>
        <w:rPr>
          <w:rFonts w:eastAsia="新細明體" w:eastAsiaTheme="minorEastAsia"/>
          <w:color w:val="auto"/>
          <w:sz w:val="36"/>
          <w:szCs w:val="36"/>
        </w:rPr>
      </w:pPr>
      <w:r>
        <w:rPr>
          <w:rFonts w:eastAsia="新細明體" w:ascii="Times New Roman" w:hAnsi="Times New Roman" w:eastAsiaTheme="minorEastAsia"/>
          <w:b/>
          <w:color w:val="auto"/>
          <w:sz w:val="28"/>
          <w:szCs w:val="28"/>
          <w:u w:val="single"/>
        </w:rPr>
        <w:t>Program</w:t>
      </w:r>
      <w:r>
        <w:rPr>
          <w:rFonts w:eastAsia="新細明體" w:eastAsiaTheme="minorEastAsia"/>
          <w:b/>
          <w:color w:val="auto"/>
          <w:sz w:val="28"/>
          <w:szCs w:val="28"/>
          <w:u w:val="single"/>
        </w:rPr>
        <w:t xml:space="preserve"> </w:t>
      </w:r>
      <w:r>
        <w:rPr>
          <w:rFonts w:eastAsia="新細明體" w:ascii="Times New Roman" w:hAnsi="Times New Roman" w:eastAsiaTheme="minorEastAsia"/>
          <w:b/>
          <w:color w:val="auto"/>
          <w:sz w:val="28"/>
          <w:szCs w:val="28"/>
          <w:u w:val="single"/>
        </w:rPr>
        <w:t>Promises</w:t>
      </w:r>
    </w:p>
    <w:p>
      <w:pPr>
        <w:pStyle w:val="ListParagraph"/>
        <w:numPr>
          <w:ilvl w:val="0"/>
          <w:numId w:val="2"/>
        </w:numPr>
        <w:spacing w:before="120" w:after="0"/>
        <w:jc w:val="both"/>
        <w:rPr>
          <w:rFonts w:ascii="Times New Roman" w:hAnsi="Times New Roman" w:eastAsia="標楷體" w:cs="Times New Roman"/>
          <w:color w:val="auto"/>
          <w:sz w:val="28"/>
          <w:szCs w:val="28"/>
        </w:rPr>
      </w:pPr>
      <w:r>
        <w:rPr>
          <w:rFonts w:eastAsia="標楷體" w:cs="Times New Roman" w:ascii="Times New Roman" w:hAnsi="Times New Roman"/>
          <w:color w:val="auto"/>
          <w:sz w:val="28"/>
          <w:szCs w:val="28"/>
        </w:rPr>
        <w:t>The MOE subsidies covering round-trip airfare and a monthly stipend for one year (Teachers: US$1,600/month, Assistants: US$800/month), topped with a one-time teaching materials allowance for Mandarin teachers.</w:t>
      </w:r>
    </w:p>
    <w:p>
      <w:pPr>
        <w:pStyle w:val="ListParagraph"/>
        <w:numPr>
          <w:ilvl w:val="0"/>
          <w:numId w:val="2"/>
        </w:numPr>
        <w:spacing w:before="120" w:after="0"/>
        <w:rPr>
          <w:rFonts w:ascii="Times New Roman" w:hAnsi="Times New Roman" w:eastAsia="標楷體" w:cs="Times New Roman"/>
          <w:color w:val="auto"/>
          <w:sz w:val="28"/>
          <w:szCs w:val="28"/>
        </w:rPr>
      </w:pPr>
      <w:r>
        <w:rPr>
          <w:rFonts w:eastAsia="標楷體" w:cs="Times New Roman" w:ascii="Times New Roman" w:hAnsi="Times New Roman"/>
          <w:color w:val="auto"/>
          <w:sz w:val="28"/>
          <w:szCs w:val="28"/>
        </w:rPr>
        <w:t>Assistance in recruiting trained and qualified teaching personnel.</w:t>
      </w:r>
    </w:p>
    <w:p>
      <w:pPr>
        <w:pStyle w:val="Normal"/>
        <w:spacing w:before="120" w:after="0"/>
        <w:rPr>
          <w:rFonts w:eastAsia="新細明體" w:eastAsiaTheme="minorEastAsia"/>
          <w:color w:val="auto"/>
          <w:sz w:val="36"/>
          <w:szCs w:val="36"/>
        </w:rPr>
      </w:pPr>
      <w:r>
        <w:rPr>
          <w:rFonts w:eastAsia="新細明體" w:ascii="Times New Roman" w:hAnsi="Times New Roman" w:eastAsiaTheme="minorEastAsia"/>
          <w:b/>
          <w:color w:val="auto"/>
          <w:sz w:val="28"/>
          <w:szCs w:val="28"/>
          <w:u w:val="single"/>
        </w:rPr>
        <w:t>Responsibilities</w:t>
      </w:r>
      <w:r>
        <w:rPr>
          <w:rFonts w:eastAsia="新細明體" w:eastAsiaTheme="minorEastAsia"/>
          <w:b/>
          <w:color w:val="auto"/>
          <w:sz w:val="28"/>
          <w:szCs w:val="28"/>
          <w:u w:val="single"/>
        </w:rPr>
        <w:t xml:space="preserve"> </w:t>
      </w:r>
      <w:r>
        <w:rPr>
          <w:rFonts w:eastAsia="新細明體" w:ascii="Times New Roman" w:hAnsi="Times New Roman" w:eastAsiaTheme="minorEastAsia"/>
          <w:b/>
          <w:color w:val="auto"/>
          <w:sz w:val="28"/>
          <w:szCs w:val="28"/>
          <w:u w:val="single"/>
        </w:rPr>
        <w:t>of</w:t>
      </w:r>
      <w:r>
        <w:rPr>
          <w:rFonts w:eastAsia="新細明體" w:eastAsiaTheme="minorEastAsia"/>
          <w:b/>
          <w:color w:val="auto"/>
          <w:sz w:val="28"/>
          <w:szCs w:val="28"/>
          <w:u w:val="single"/>
        </w:rPr>
        <w:t xml:space="preserve"> </w:t>
      </w:r>
      <w:r>
        <w:rPr>
          <w:rFonts w:eastAsia="新細明體" w:ascii="Times New Roman" w:hAnsi="Times New Roman" w:eastAsiaTheme="minorEastAsia"/>
          <w:b/>
          <w:color w:val="auto"/>
          <w:sz w:val="28"/>
          <w:szCs w:val="28"/>
          <w:u w:val="single"/>
        </w:rPr>
        <w:t>the</w:t>
      </w:r>
      <w:r>
        <w:rPr>
          <w:rFonts w:eastAsia="新細明體" w:eastAsiaTheme="minorEastAsia"/>
          <w:b/>
          <w:color w:val="auto"/>
          <w:sz w:val="28"/>
          <w:szCs w:val="28"/>
          <w:u w:val="single"/>
        </w:rPr>
        <w:t xml:space="preserve"> </w:t>
      </w:r>
      <w:r>
        <w:rPr>
          <w:rFonts w:eastAsia="新細明體" w:ascii="Times New Roman" w:hAnsi="Times New Roman" w:eastAsiaTheme="minorEastAsia"/>
          <w:b/>
          <w:color w:val="auto"/>
          <w:sz w:val="28"/>
          <w:szCs w:val="28"/>
          <w:u w:val="single"/>
        </w:rPr>
        <w:t>Cooperating</w:t>
      </w:r>
      <w:r>
        <w:rPr>
          <w:rFonts w:eastAsia="新細明體" w:eastAsiaTheme="minorEastAsia"/>
          <w:b/>
          <w:color w:val="auto"/>
          <w:sz w:val="28"/>
          <w:szCs w:val="28"/>
          <w:u w:val="single"/>
        </w:rPr>
        <w:t xml:space="preserve"> </w:t>
      </w:r>
      <w:r>
        <w:rPr>
          <w:rFonts w:eastAsia="新細明體" w:ascii="Times New Roman" w:hAnsi="Times New Roman" w:eastAsiaTheme="minorEastAsia"/>
          <w:b/>
          <w:color w:val="auto"/>
          <w:sz w:val="28"/>
          <w:szCs w:val="28"/>
          <w:u w:val="single"/>
        </w:rPr>
        <w:t>Institution</w:t>
      </w:r>
    </w:p>
    <w:p>
      <w:pPr>
        <w:pStyle w:val="ListParagraph"/>
        <w:widowControl w:val="false"/>
        <w:numPr>
          <w:ilvl w:val="0"/>
          <w:numId w:val="3"/>
        </w:numPr>
        <w:spacing w:before="120" w:after="0"/>
        <w:jc w:val="both"/>
        <w:rPr>
          <w:rFonts w:ascii="Times New Roman" w:hAnsi="Times New Roman" w:eastAsia="標楷體" w:cs="Times New Roman"/>
          <w:color w:val="auto"/>
          <w:sz w:val="28"/>
          <w:szCs w:val="28"/>
        </w:rPr>
      </w:pPr>
      <w:r>
        <w:rPr>
          <w:rFonts w:eastAsia="標楷體" w:cs="Times New Roman" w:ascii="Times New Roman" w:hAnsi="Times New Roman"/>
          <w:color w:val="auto"/>
          <w:sz w:val="28"/>
          <w:szCs w:val="28"/>
        </w:rPr>
        <w:t>Be officially recognized by the U.S. government or a professional accreditation agency for education.</w:t>
      </w:r>
    </w:p>
    <w:p>
      <w:pPr>
        <w:pStyle w:val="ListParagraph"/>
        <w:widowControl w:val="false"/>
        <w:numPr>
          <w:ilvl w:val="0"/>
          <w:numId w:val="3"/>
        </w:numPr>
        <w:spacing w:before="120" w:after="0"/>
        <w:jc w:val="both"/>
        <w:rPr>
          <w:rFonts w:ascii="Times New Roman" w:hAnsi="Times New Roman" w:eastAsia="標楷體" w:cs="Times New Roman"/>
          <w:color w:val="auto"/>
          <w:sz w:val="28"/>
          <w:szCs w:val="28"/>
        </w:rPr>
      </w:pPr>
      <w:r>
        <w:rPr>
          <w:rFonts w:eastAsia="標楷體" w:cs="Times New Roman" w:ascii="Times New Roman" w:hAnsi="Times New Roman"/>
          <w:color w:val="auto"/>
          <w:sz w:val="28"/>
          <w:szCs w:val="28"/>
        </w:rPr>
        <w:t>Provide a salary, which could include additional benefits such as insurance, accommodation, and professional development opportunities.</w:t>
      </w:r>
    </w:p>
    <w:p>
      <w:pPr>
        <w:pStyle w:val="Normal"/>
        <w:spacing w:before="120" w:after="0"/>
        <w:rPr>
          <w:rFonts w:eastAsia="新細明體" w:eastAsiaTheme="minorEastAsia"/>
          <w:b/>
          <w:b/>
          <w:color w:val="auto"/>
          <w:sz w:val="28"/>
          <w:szCs w:val="28"/>
          <w:u w:val="single"/>
        </w:rPr>
      </w:pPr>
      <w:r>
        <w:rPr>
          <w:rFonts w:eastAsia="新細明體" w:ascii="Times New Roman" w:hAnsi="Times New Roman" w:eastAsiaTheme="minorEastAsia"/>
          <w:b/>
          <w:color w:val="auto"/>
          <w:sz w:val="28"/>
          <w:szCs w:val="28"/>
          <w:u w:val="single"/>
        </w:rPr>
        <w:t>Application</w:t>
      </w:r>
      <w:r>
        <w:rPr>
          <w:rFonts w:eastAsia="新細明體" w:eastAsiaTheme="minorEastAsia"/>
          <w:b/>
          <w:color w:val="auto"/>
          <w:sz w:val="28"/>
          <w:szCs w:val="28"/>
          <w:u w:val="single"/>
        </w:rPr>
        <w:t xml:space="preserve"> </w:t>
      </w:r>
      <w:r>
        <w:rPr>
          <w:rFonts w:eastAsia="新細明體" w:ascii="Times New Roman" w:hAnsi="Times New Roman" w:eastAsiaTheme="minorEastAsia"/>
          <w:b/>
          <w:color w:val="auto"/>
          <w:sz w:val="28"/>
          <w:szCs w:val="28"/>
          <w:u w:val="single"/>
        </w:rPr>
        <w:t>procedure</w:t>
      </w:r>
    </w:p>
    <w:p>
      <w:pPr>
        <w:pStyle w:val="Normal"/>
        <w:spacing w:before="120" w:after="0"/>
        <w:jc w:val="both"/>
        <w:rPr>
          <w:rFonts w:eastAsia="新細明體" w:eastAsiaTheme="minorEastAsia"/>
          <w:color w:val="auto"/>
          <w:sz w:val="28"/>
          <w:szCs w:val="28"/>
        </w:rPr>
      </w:pP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Interested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educational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institutions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should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submit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an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official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request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letter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and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the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Information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Form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for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the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program</w:t>
      </w:r>
      <w:r>
        <w:rPr>
          <w:rFonts w:eastAsia="新細明體" w:eastAsiaTheme="minorEastAsia"/>
          <w:color w:val="auto"/>
          <w:sz w:val="28"/>
          <w:szCs w:val="28"/>
        </w:rPr>
        <w:t xml:space="preserve"> (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attached</w:t>
      </w:r>
      <w:r>
        <w:rPr>
          <w:rFonts w:eastAsia="新細明體" w:eastAsiaTheme="minorEastAsia"/>
          <w:color w:val="auto"/>
          <w:sz w:val="28"/>
          <w:szCs w:val="28"/>
        </w:rPr>
        <w:t xml:space="preserve">)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to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the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Education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Division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of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the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nearest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local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Taiwan</w:t>
      </w:r>
      <w:r>
        <w:rPr>
          <w:rFonts w:eastAsia="新細明體" w:eastAsiaTheme="minorEastAsia"/>
          <w:color w:val="auto"/>
          <w:sz w:val="28"/>
          <w:szCs w:val="28"/>
        </w:rPr>
        <w:t xml:space="preserve"> </w:t>
      </w:r>
      <w:r>
        <w:rPr>
          <w:rFonts w:eastAsia="新細明體" w:ascii="Times New Roman" w:hAnsi="Times New Roman" w:eastAsiaTheme="minorEastAsia"/>
          <w:color w:val="auto"/>
          <w:sz w:val="28"/>
          <w:szCs w:val="28"/>
        </w:rPr>
        <w:t>missions</w:t>
      </w:r>
      <w:r>
        <w:rPr>
          <w:rFonts w:eastAsia="新細明體" w:eastAsiaTheme="minorEastAsia"/>
          <w:color w:val="auto"/>
          <w:sz w:val="28"/>
          <w:szCs w:val="28"/>
        </w:rPr>
        <w:t xml:space="preserve">. </w:t>
      </w:r>
    </w:p>
    <w:p>
      <w:pPr>
        <w:pStyle w:val="Normal"/>
        <w:spacing w:before="120" w:after="0"/>
        <w:rPr>
          <w:rFonts w:eastAsia="新細明體" w:eastAsiaTheme="minorEastAsia"/>
          <w:b/>
          <w:b/>
          <w:color w:val="auto"/>
          <w:sz w:val="28"/>
          <w:szCs w:val="28"/>
          <w:u w:val="single"/>
        </w:rPr>
      </w:pPr>
      <w:r>
        <w:rPr>
          <w:rFonts w:eastAsia="新細明體" w:ascii="Times New Roman" w:hAnsi="Times New Roman" w:eastAsiaTheme="minorEastAsia"/>
          <w:b/>
          <w:color w:val="auto"/>
          <w:sz w:val="28"/>
          <w:szCs w:val="28"/>
          <w:u w:val="single"/>
        </w:rPr>
        <w:t>Procedure</w:t>
      </w:r>
    </w:p>
    <w:p>
      <w:pPr>
        <w:pStyle w:val="ListParagraph"/>
        <w:widowControl w:val="false"/>
        <w:numPr>
          <w:ilvl w:val="0"/>
          <w:numId w:val="4"/>
        </w:numPr>
        <w:spacing w:before="120" w:after="0"/>
        <w:rPr>
          <w:rFonts w:ascii="Times New Roman" w:hAnsi="Times New Roman" w:eastAsia="標楷體" w:cs="Times New Roman"/>
          <w:color w:val="auto"/>
          <w:sz w:val="28"/>
          <w:szCs w:val="28"/>
        </w:rPr>
      </w:pPr>
      <w:r>
        <w:rPr>
          <w:rFonts w:eastAsia="標楷體" w:cs="Times New Roman" w:ascii="Times New Roman" w:hAnsi="Times New Roman"/>
          <w:color w:val="auto"/>
          <w:sz w:val="28"/>
          <w:szCs w:val="28"/>
        </w:rPr>
        <w:t xml:space="preserve">An interested education institute contacts the Education Division of the nearest Taipei Economic and Cultural Office. </w:t>
      </w:r>
    </w:p>
    <w:p>
      <w:pPr>
        <w:pStyle w:val="ListParagraph"/>
        <w:widowControl w:val="false"/>
        <w:numPr>
          <w:ilvl w:val="0"/>
          <w:numId w:val="4"/>
        </w:numPr>
        <w:spacing w:before="120" w:after="0"/>
        <w:ind w:left="720" w:right="-708" w:hanging="360"/>
        <w:rPr>
          <w:rFonts w:ascii="Times New Roman" w:hAnsi="Times New Roman" w:eastAsia="標楷體" w:cs="Times New Roman"/>
          <w:color w:val="auto"/>
          <w:sz w:val="28"/>
          <w:szCs w:val="28"/>
        </w:rPr>
      </w:pPr>
      <w:r>
        <w:rPr>
          <w:rFonts w:eastAsia="標楷體" w:cs="Times New Roman" w:ascii="Times New Roman" w:hAnsi="Times New Roman"/>
          <w:color w:val="auto"/>
          <w:sz w:val="28"/>
          <w:szCs w:val="28"/>
        </w:rPr>
        <w:t>The interested education institute provides a job description and salary information.</w:t>
      </w:r>
    </w:p>
    <w:p>
      <w:pPr>
        <w:pStyle w:val="ListParagraph"/>
        <w:widowControl w:val="false"/>
        <w:numPr>
          <w:ilvl w:val="0"/>
          <w:numId w:val="4"/>
        </w:numPr>
        <w:spacing w:before="120" w:after="0"/>
        <w:ind w:left="720" w:right="-708" w:hanging="360"/>
        <w:rPr>
          <w:rFonts w:ascii="Times New Roman" w:hAnsi="Times New Roman" w:eastAsia="標楷體" w:cs="Times New Roman"/>
          <w:color w:val="auto"/>
          <w:sz w:val="28"/>
          <w:szCs w:val="28"/>
        </w:rPr>
      </w:pPr>
      <w:r>
        <w:rPr>
          <w:rFonts w:eastAsia="標楷體" w:cs="Times New Roman" w:ascii="Times New Roman" w:hAnsi="Times New Roman"/>
          <w:color w:val="auto"/>
          <w:sz w:val="28"/>
          <w:szCs w:val="28"/>
        </w:rPr>
        <w:t>The Education Division relays the information to the MOE.</w:t>
      </w:r>
    </w:p>
    <w:p>
      <w:pPr>
        <w:pStyle w:val="ListParagraph"/>
        <w:widowControl w:val="false"/>
        <w:numPr>
          <w:ilvl w:val="0"/>
          <w:numId w:val="4"/>
        </w:numPr>
        <w:spacing w:before="120" w:after="0"/>
        <w:ind w:left="720" w:right="-708" w:hanging="360"/>
        <w:rPr>
          <w:rFonts w:ascii="Times New Roman" w:hAnsi="Times New Roman" w:eastAsia="標楷體" w:cs="Times New Roman"/>
          <w:color w:val="auto"/>
          <w:sz w:val="28"/>
          <w:szCs w:val="28"/>
        </w:rPr>
      </w:pPr>
      <w:r>
        <w:rPr>
          <w:rFonts w:eastAsia="標楷體" w:cs="Times New Roman" w:ascii="Times New Roman" w:hAnsi="Times New Roman"/>
          <w:color w:val="auto"/>
          <w:sz w:val="28"/>
          <w:szCs w:val="28"/>
        </w:rPr>
        <w:t>The MOE disseminates the job information.</w:t>
      </w:r>
    </w:p>
    <w:p>
      <w:pPr>
        <w:pStyle w:val="ListParagraph"/>
        <w:widowControl w:val="false"/>
        <w:numPr>
          <w:ilvl w:val="0"/>
          <w:numId w:val="4"/>
        </w:numPr>
        <w:spacing w:before="120" w:after="0"/>
        <w:ind w:left="720" w:right="-568" w:hanging="360"/>
        <w:rPr>
          <w:rFonts w:ascii="Times New Roman" w:hAnsi="Times New Roman" w:eastAsia="標楷體" w:cs="Times New Roman"/>
          <w:color w:val="auto"/>
          <w:sz w:val="28"/>
          <w:szCs w:val="28"/>
        </w:rPr>
      </w:pPr>
      <w:r>
        <w:rPr>
          <w:rFonts w:eastAsia="標楷體" w:cs="Times New Roman" w:ascii="Times New Roman" w:hAnsi="Times New Roman"/>
          <w:color w:val="auto"/>
          <w:sz w:val="28"/>
          <w:szCs w:val="28"/>
        </w:rPr>
        <w:t>The interested education institute independently conducts interviews and selects their preferred candidates.</w:t>
      </w:r>
    </w:p>
    <w:p>
      <w:pPr>
        <w:pStyle w:val="Normal"/>
        <w:widowControl w:val="false"/>
        <w:spacing w:before="120" w:after="0"/>
        <w:ind w:left="360" w:right="-568" w:hanging="0"/>
        <w:rPr>
          <w:rFonts w:ascii="Times New Roman" w:hAnsi="Times New Roman" w:eastAsia="標楷體" w:cs="Times New Roman"/>
          <w:color w:val="auto"/>
          <w:sz w:val="28"/>
          <w:szCs w:val="28"/>
        </w:rPr>
      </w:pPr>
      <w:r>
        <w:rPr>
          <w:rFonts w:eastAsia="標楷體" w:cs="Times New Roman" w:ascii="Times New Roman" w:hAnsi="Times New Roman"/>
          <w:color w:val="auto"/>
          <w:sz w:val="28"/>
          <w:szCs w:val="28"/>
        </w:rPr>
      </w:r>
    </w:p>
    <w:tbl>
      <w:tblPr>
        <w:tblpPr w:bottomFromText="0" w:horzAnchor="margin" w:leftFromText="180" w:rightFromText="180" w:tblpX="-20" w:tblpY="46" w:topFromText="0" w:vertAnchor="text"/>
        <w:tblW w:w="978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5"/>
        <w:gridCol w:w="5375"/>
      </w:tblGrid>
      <w:tr>
        <w:trPr>
          <w:trHeight w:val="672" w:hRule="atLeast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10" w:right="-110" w:hanging="0"/>
              <w:jc w:val="center"/>
              <w:rPr>
                <w:rFonts w:ascii="Times New Roman" w:hAnsi="Times New Roman" w:eastAsia="標楷體" w:cs="Times New Roman"/>
                <w:color w:val="auto"/>
                <w:sz w:val="32"/>
                <w:szCs w:val="36"/>
              </w:rPr>
            </w:pPr>
            <w:r>
              <w:rPr>
                <w:rFonts w:eastAsia="標楷體" w:cs="Times New Roman" w:ascii="Times New Roman" w:hAnsi="Times New Roman"/>
                <w:b/>
                <w:bCs/>
                <w:color w:val="auto"/>
                <w:sz w:val="32"/>
                <w:szCs w:val="36"/>
              </w:rPr>
              <w:t>Employing Mandarin Teacher from Taiwan - Information Form</w:t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Country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Cooperating university /organization/school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Person-in-charge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Number of teachers to be employed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Applicant qualifications/eligibility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(including teaching qualification &amp; any other credentials), and application deadline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Period of employment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Monthly salary provided by cooperating university/organization/school             (before / after taxes)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Support provided by cooperating university/organization/school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(i.e. health insurance, accommodation, training opportunities, tax-exemption, holidays &amp; leave, employment visa)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Support provided by Taiwan MOE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(i.e. monthly living stipend, round-trip airfare subsidy, teaching material allowance)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360"/>
              <w:ind w:left="291" w:hanging="291"/>
              <w:rPr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Monthly living stipend: (Teachers: US$1,600/month, Assistants: US$800/month)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360"/>
              <w:ind w:left="291" w:hanging="291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Round-trip airfare subsidy: maximum US$1,750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360"/>
              <w:ind w:left="291" w:hanging="291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 xml:space="preserve">Teaching material allowance </w:t>
            </w: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for teachers</w:t>
            </w: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: US$300</w:t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Course content and teacher duties</w:t>
            </w:r>
          </w:p>
          <w:p>
            <w:pPr>
              <w:pStyle w:val="Normal"/>
              <w:widowControl w:val="false"/>
              <w:snapToGrid w:val="false"/>
              <w:spacing w:lineRule="auto" w:line="276" w:before="0" w:after="120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(including weekly teaching load and any other duties)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Course level(s)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Any other material applicant should provide (e.g. short video of their teaching)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Contact person / contact method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</w:p>
        </w:tc>
      </w:tr>
      <w:tr>
        <w:trPr>
          <w:trHeight w:val="20" w:hRule="atLeast"/>
        </w:trPr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240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  <w:t>Remarks</w:t>
            </w:r>
          </w:p>
        </w:tc>
        <w:tc>
          <w:tcPr>
            <w:tcW w:w="5375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標楷體" w:cs="Times New Roman"/>
                <w:color w:val="auto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color w:val="auto"/>
                <w:sz w:val="26"/>
                <w:szCs w:val="26"/>
              </w:rPr>
            </w:r>
            <w:bookmarkStart w:id="1" w:name="_GoBack1"/>
            <w:bookmarkStart w:id="2" w:name="_GoBack1"/>
            <w:bookmarkEnd w:id="2"/>
          </w:p>
        </w:tc>
      </w:tr>
    </w:tbl>
    <w:p>
      <w:pPr>
        <w:pStyle w:val="Normal"/>
        <w:spacing w:before="40" w:after="0"/>
        <w:rPr>
          <w:rFonts w:eastAsia="新細明體" w:eastAsiaTheme="minorEastAsia"/>
          <w:color w:val="auto"/>
        </w:rPr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709" w:top="766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Helvetica Neue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rFonts w:eastAsia="新細明體" w:eastAsiaTheme="minorEastAsia"/>
      </w:rPr>
    </w:pPr>
    <w:r>
      <w:rPr>
        <w:rFonts w:ascii="Times New Roman" w:hAnsi="Times New Roman"/>
      </w:rPr>
      <w:tab/>
      <w:tab/>
    </w:r>
    <w:r>
      <w:rPr>
        <w:rFonts w:eastAsia="新細明體" w:ascii="Times New Roman" w:hAnsi="Times New Roman" w:eastAsiaTheme="minorEastAsia"/>
      </w:rPr>
      <w:t>202</w:t>
    </w:r>
    <w:r>
      <w:rPr>
        <w:rFonts w:eastAsia="新細明體" w:ascii="Times New Roman" w:hAnsi="Times New Roman" w:eastAsiaTheme="minorEastAsia"/>
      </w:rPr>
      <w:t>4</w:t>
    </w:r>
    <w:r>
      <w:rPr>
        <w:rFonts w:eastAsia="新細明體" w:ascii="Times New Roman" w:hAnsi="Times New Roman" w:eastAsiaTheme="minorEastAsia"/>
      </w:rPr>
      <w:t>0</w:t>
    </w:r>
    <w:r>
      <w:rPr>
        <w:rFonts w:eastAsia="新細明體" w:ascii="Times New Roman" w:hAnsi="Times New Roman" w:eastAsiaTheme="minorEastAsia"/>
      </w:rPr>
      <w:t>105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/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/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/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n-US" w:eastAsia="zh-TW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u w:val="single"/>
    </w:rPr>
  </w:style>
  <w:style w:type="character" w:styleId="Hyperlink0" w:customStyle="1">
    <w:name w:val="Hyperlink.0"/>
    <w:basedOn w:val="Style14"/>
    <w:qFormat/>
    <w:rPr>
      <w:u w:val="single"/>
    </w:rPr>
  </w:style>
  <w:style w:type="character" w:styleId="Style15" w:customStyle="1">
    <w:name w:val="頁首 字元"/>
    <w:basedOn w:val="DefaultParagraphFont"/>
    <w:uiPriority w:val="99"/>
    <w:qFormat/>
    <w:rsid w:val="00ce4835"/>
    <w:rPr>
      <w:rFonts w:ascii="Helvetica Neue" w:hAnsi="Helvetica Neue" w:eastAsia="Arial Unicode MS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Style16" w:customStyle="1">
    <w:name w:val="頁尾 字元"/>
    <w:basedOn w:val="DefaultParagraphFont"/>
    <w:uiPriority w:val="99"/>
    <w:qFormat/>
    <w:rsid w:val="00ce4835"/>
    <w:rPr>
      <w:rFonts w:ascii="Helvetica Neue" w:hAnsi="Helvetica Neue" w:eastAsia="Arial Unicode MS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Style17" w:customStyle="1">
    <w:name w:val="註解方塊文字 字元"/>
    <w:basedOn w:val="DefaultParagraphFont"/>
    <w:link w:val="BalloonText"/>
    <w:uiPriority w:val="99"/>
    <w:semiHidden/>
    <w:qFormat/>
    <w:rsid w:val="006477d5"/>
    <w:rPr>
      <w:rFonts w:ascii="Helvetica Neue" w:hAnsi="Helvetica Neue" w:eastAsia="細明體" w:cs="Helvetica Neue" w:asciiTheme="majorHAnsi" w:cstheme="majorBidi" w:eastAsiaTheme="majorEastAsia" w:hAnsiTheme="majorHAnsi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DFKai-SB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eastAsia="DFKai-SB"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eastAsia="DFKai-SB" w:cs="Lucida San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ascii="Times New Roman" w:hAnsi="Times New Roman" w:eastAsia="DFKai-SB" w:cs="Lucida Sans"/>
    </w:rPr>
  </w:style>
  <w:style w:type="paragraph" w:styleId="2" w:customStyle="1">
    <w:name w:val="表格樣式 2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0"/>
      <w:szCs w:val="20"/>
      <w:lang w:val="en-US" w:eastAsia="zh-TW" w:bidi="ar-SA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預設值"/>
    <w:qFormat/>
    <w:pPr>
      <w:widowControl/>
      <w:suppressAutoHyphens w:val="true"/>
      <w:bidi w:val="0"/>
      <w:spacing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n-US" w:eastAsia="zh-TW" w:bidi="ar-SA"/>
      <w14:textOutline w14:w="0" w14:cap="flat" w14:cmpd="sng" w14:algn="ctr">
        <w14:noFill/>
        <w14:prstDash w14:val="solid"/>
        <w14:bevel/>
      </w14:textOutline>
    </w:rPr>
  </w:style>
  <w:style w:type="paragraph" w:styleId="Style24">
    <w:name w:val="頁首與頁尾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ce4835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link w:val="Style16"/>
    <w:uiPriority w:val="99"/>
    <w:unhideWhenUsed/>
    <w:rsid w:val="00ce4835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7655"/>
    <w:pPr>
      <w:ind w:left="480" w:hanging="0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6477d5"/>
    <w:pPr/>
    <w:rPr>
      <w:rFonts w:ascii="Helvetica Neue" w:hAnsi="Helvetica Neue" w:eastAsia="細明體" w:cs="Helvetica Neue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LibreOffice/7.4.3.2$Windows_X86_64 LibreOffice_project/1048a8393ae2eeec98dff31b5c133c5f1d08b890</Application>
  <AppVersion>15.0000</AppVersion>
  <Pages>2</Pages>
  <Words>415</Words>
  <Characters>2776</Characters>
  <CharactersWithSpaces>3157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2023-05-19T01:51:00Z</dcterms:created>
  <dc:creator>廖苡亘</dc:creator>
  <dc:description/>
  <dc:language>zh-TW</dc:language>
  <cp:lastModifiedBy/>
  <cp:lastPrinted>2023-12-06T09:08:30Z</cp:lastPrinted>
  <dcterms:modified xsi:type="dcterms:W3CDTF">2024-01-05T12:11:11Z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