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15" w:rsidRPr="0065164E" w:rsidRDefault="00C80115" w:rsidP="00E07BB1">
      <w:pPr>
        <w:jc w:val="center"/>
        <w:rPr>
          <w:rFonts w:ascii="標楷體" w:eastAsia="標楷體" w:hAnsi="標楷體"/>
          <w:sz w:val="40"/>
          <w:szCs w:val="40"/>
        </w:rPr>
      </w:pPr>
      <w:r w:rsidRPr="0065164E">
        <w:rPr>
          <w:rFonts w:ascii="標楷體" w:eastAsia="標楷體" w:hAnsi="標楷體" w:hint="eastAsia"/>
          <w:sz w:val="40"/>
          <w:szCs w:val="40"/>
        </w:rPr>
        <w:t>再</w:t>
      </w:r>
      <w:r w:rsidR="00E07BB1" w:rsidRPr="0065164E">
        <w:rPr>
          <w:rFonts w:ascii="標楷體" w:eastAsia="標楷體" w:hAnsi="標楷體"/>
          <w:sz w:val="40"/>
          <w:szCs w:val="40"/>
        </w:rPr>
        <w:t>論</w:t>
      </w:r>
      <w:r w:rsidRPr="0065164E">
        <w:rPr>
          <w:rFonts w:ascii="標楷體" w:eastAsia="標楷體" w:hAnsi="標楷體" w:hint="eastAsia"/>
          <w:sz w:val="40"/>
          <w:szCs w:val="40"/>
        </w:rPr>
        <w:t>私校會計人員與</w:t>
      </w:r>
      <w:r w:rsidR="00E07BB1" w:rsidRPr="0065164E">
        <w:rPr>
          <w:rFonts w:ascii="標楷體" w:eastAsia="標楷體" w:hAnsi="標楷體"/>
          <w:sz w:val="40"/>
          <w:szCs w:val="40"/>
        </w:rPr>
        <w:t>簽證</w:t>
      </w:r>
      <w:r w:rsidRPr="0065164E">
        <w:rPr>
          <w:rFonts w:ascii="標楷體" w:eastAsia="標楷體" w:hAnsi="標楷體" w:hint="eastAsia"/>
          <w:sz w:val="40"/>
          <w:szCs w:val="40"/>
        </w:rPr>
        <w:t>會計師</w:t>
      </w:r>
    </w:p>
    <w:p w:rsidR="00092F16" w:rsidRPr="0065164E" w:rsidRDefault="00C80115" w:rsidP="00E07BB1">
      <w:pPr>
        <w:jc w:val="center"/>
        <w:rPr>
          <w:rFonts w:ascii="標楷體" w:eastAsia="標楷體" w:hAnsi="標楷體"/>
          <w:sz w:val="40"/>
          <w:szCs w:val="40"/>
        </w:rPr>
      </w:pPr>
      <w:r w:rsidRPr="0065164E">
        <w:rPr>
          <w:rFonts w:ascii="標楷體" w:eastAsia="標楷體" w:hAnsi="標楷體" w:hint="eastAsia"/>
          <w:sz w:val="40"/>
          <w:szCs w:val="40"/>
        </w:rPr>
        <w:t>相輔相成以精進查核品質</w:t>
      </w:r>
    </w:p>
    <w:p w:rsidR="00E07BB1" w:rsidRPr="0065164E" w:rsidRDefault="00E07BB1" w:rsidP="00E07BB1">
      <w:pPr>
        <w:jc w:val="right"/>
        <w:rPr>
          <w:rFonts w:ascii="標楷體" w:eastAsia="標楷體" w:hAnsi="標楷體"/>
          <w:sz w:val="28"/>
          <w:szCs w:val="28"/>
        </w:rPr>
      </w:pPr>
      <w:r w:rsidRPr="0065164E">
        <w:rPr>
          <w:rFonts w:ascii="標楷體" w:eastAsia="標楷體" w:hAnsi="標楷體"/>
          <w:sz w:val="28"/>
          <w:szCs w:val="28"/>
        </w:rPr>
        <w:t>黃永傳(教育部會計處處長)</w:t>
      </w:r>
    </w:p>
    <w:p w:rsidR="007901A2" w:rsidRPr="0065164E" w:rsidRDefault="00792F21" w:rsidP="00792F21">
      <w:pPr>
        <w:wordWrap w:val="0"/>
        <w:jc w:val="right"/>
        <w:rPr>
          <w:rFonts w:ascii="標楷體" w:eastAsia="標楷體" w:hAnsi="標楷體"/>
          <w:sz w:val="28"/>
          <w:szCs w:val="28"/>
        </w:rPr>
      </w:pPr>
      <w:r w:rsidRPr="0065164E">
        <w:rPr>
          <w:rFonts w:ascii="標楷體" w:eastAsia="標楷體" w:hAnsi="標楷體" w:hint="eastAsia"/>
          <w:sz w:val="28"/>
          <w:szCs w:val="28"/>
          <w:lang w:eastAsia="zh-HK"/>
        </w:rPr>
        <w:t>陳淑惠</w:t>
      </w:r>
      <w:r w:rsidRPr="0065164E">
        <w:rPr>
          <w:rFonts w:ascii="標楷體" w:eastAsia="標楷體" w:hAnsi="標楷體"/>
          <w:sz w:val="28"/>
          <w:szCs w:val="28"/>
        </w:rPr>
        <w:t>(教育部會計處</w:t>
      </w:r>
      <w:r w:rsidRPr="0065164E">
        <w:rPr>
          <w:rFonts w:ascii="標楷體" w:eastAsia="標楷體" w:hAnsi="標楷體" w:hint="eastAsia"/>
          <w:sz w:val="28"/>
          <w:szCs w:val="28"/>
          <w:lang w:eastAsia="zh-HK"/>
        </w:rPr>
        <w:t>專員</w:t>
      </w:r>
      <w:r w:rsidRPr="0065164E">
        <w:rPr>
          <w:rFonts w:ascii="標楷體" w:eastAsia="標楷體" w:hAnsi="標楷體"/>
          <w:sz w:val="28"/>
          <w:szCs w:val="28"/>
        </w:rPr>
        <w:t>)</w:t>
      </w:r>
    </w:p>
    <w:p w:rsidR="00E07BB1" w:rsidRPr="0065164E" w:rsidRDefault="00E07BB1" w:rsidP="00E07BB1">
      <w:pPr>
        <w:pStyle w:val="a3"/>
        <w:numPr>
          <w:ilvl w:val="0"/>
          <w:numId w:val="1"/>
        </w:numPr>
        <w:ind w:leftChars="0"/>
        <w:rPr>
          <w:rFonts w:ascii="標楷體" w:eastAsia="標楷體" w:hAnsi="標楷體"/>
          <w:sz w:val="28"/>
          <w:szCs w:val="28"/>
        </w:rPr>
      </w:pPr>
      <w:r w:rsidRPr="0065164E">
        <w:rPr>
          <w:rFonts w:ascii="標楷體" w:eastAsia="標楷體" w:hAnsi="標楷體"/>
          <w:sz w:val="28"/>
          <w:szCs w:val="28"/>
        </w:rPr>
        <w:t>前言</w:t>
      </w:r>
    </w:p>
    <w:p w:rsidR="0000392D" w:rsidRPr="0065164E" w:rsidRDefault="00E07BB1" w:rsidP="007C7BB3">
      <w:pPr>
        <w:ind w:left="720" w:firstLineChars="200" w:firstLine="560"/>
        <w:rPr>
          <w:rFonts w:ascii="標楷體" w:eastAsia="標楷體" w:hAnsi="標楷體"/>
          <w:sz w:val="28"/>
          <w:szCs w:val="28"/>
        </w:rPr>
      </w:pPr>
      <w:r w:rsidRPr="0065164E">
        <w:rPr>
          <w:rFonts w:ascii="標楷體" w:eastAsia="標楷體" w:hAnsi="標楷體"/>
          <w:sz w:val="28"/>
          <w:szCs w:val="28"/>
        </w:rPr>
        <w:t>私立大專校院(以下簡稱私校)董事會依據學校財團法人及所設</w:t>
      </w:r>
      <w:r w:rsidR="0051515B" w:rsidRPr="0065164E">
        <w:rPr>
          <w:rFonts w:ascii="標楷體" w:eastAsia="標楷體" w:hAnsi="標楷體"/>
          <w:sz w:val="28"/>
          <w:szCs w:val="28"/>
        </w:rPr>
        <w:t>私立學校會計制度之一致規定(以下簡稱會計制度之一致規定)第49</w:t>
      </w:r>
      <w:r w:rsidR="00792F21" w:rsidRPr="0065164E">
        <w:rPr>
          <w:rFonts w:ascii="標楷體" w:eastAsia="標楷體" w:hAnsi="標楷體" w:hint="eastAsia"/>
          <w:sz w:val="28"/>
          <w:szCs w:val="28"/>
          <w:lang w:eastAsia="zh-HK"/>
        </w:rPr>
        <w:t>段</w:t>
      </w:r>
      <w:r w:rsidR="00314BAF" w:rsidRPr="0065164E">
        <w:rPr>
          <w:rFonts w:ascii="標楷體" w:eastAsia="標楷體" w:hAnsi="標楷體"/>
          <w:sz w:val="28"/>
          <w:szCs w:val="28"/>
        </w:rPr>
        <w:t>之規定，每學年度終了，</w:t>
      </w:r>
      <w:r w:rsidR="00425B88" w:rsidRPr="0065164E">
        <w:rPr>
          <w:rFonts w:ascii="標楷體" w:eastAsia="標楷體" w:hAnsi="標楷體" w:hint="eastAsia"/>
          <w:sz w:val="28"/>
          <w:szCs w:val="28"/>
        </w:rPr>
        <w:t>須</w:t>
      </w:r>
      <w:r w:rsidR="00314BAF" w:rsidRPr="0065164E">
        <w:rPr>
          <w:rFonts w:ascii="標楷體" w:eastAsia="標楷體" w:hAnsi="標楷體"/>
          <w:sz w:val="28"/>
          <w:szCs w:val="28"/>
        </w:rPr>
        <w:t>自行委請符合教育部認可之會計師查核其財務報表，</w:t>
      </w:r>
      <w:r w:rsidR="00432A1D" w:rsidRPr="0065164E">
        <w:rPr>
          <w:rFonts w:ascii="標楷體" w:eastAsia="標楷體" w:hAnsi="標楷體"/>
          <w:sz w:val="28"/>
          <w:szCs w:val="28"/>
        </w:rPr>
        <w:t>根據查核後之財務報表連同會計師查核報告及決算表彙整提報董事會議通過，</w:t>
      </w:r>
      <w:r w:rsidR="00425B88" w:rsidRPr="0065164E">
        <w:rPr>
          <w:rFonts w:ascii="標楷體" w:eastAsia="標楷體" w:hAnsi="標楷體"/>
          <w:sz w:val="28"/>
          <w:szCs w:val="28"/>
        </w:rPr>
        <w:t>並</w:t>
      </w:r>
      <w:r w:rsidR="00432A1D" w:rsidRPr="0065164E">
        <w:rPr>
          <w:rFonts w:ascii="標楷體" w:eastAsia="標楷體" w:hAnsi="標楷體"/>
          <w:sz w:val="28"/>
          <w:szCs w:val="28"/>
        </w:rPr>
        <w:t>於每年11月30日前函報教育部備查。鑑於曾在本刊第267期撰寫「私校會計人員與簽證會計師相輔相成以精進查核品質」，</w:t>
      </w:r>
      <w:r w:rsidR="00C80115" w:rsidRPr="0065164E">
        <w:rPr>
          <w:rFonts w:ascii="標楷體" w:eastAsia="標楷體" w:hAnsi="標楷體" w:hint="eastAsia"/>
          <w:sz w:val="28"/>
          <w:szCs w:val="28"/>
        </w:rPr>
        <w:t>以會計師簽證業務為主軸，</w:t>
      </w:r>
      <w:r w:rsidR="00432A1D" w:rsidRPr="0065164E">
        <w:rPr>
          <w:rFonts w:ascii="標楷體" w:eastAsia="標楷體" w:hAnsi="標楷體"/>
          <w:sz w:val="28"/>
          <w:szCs w:val="28"/>
        </w:rPr>
        <w:t>介紹精進會計師查核私校財務報表品質之策略。因此，仍以教育部會計處(以下簡稱本處)審核私校函報103學年度決算表、</w:t>
      </w:r>
      <w:r w:rsidR="00C472B2" w:rsidRPr="0065164E">
        <w:rPr>
          <w:rFonts w:ascii="標楷體" w:eastAsia="標楷體" w:hAnsi="標楷體"/>
          <w:sz w:val="28"/>
          <w:szCs w:val="28"/>
        </w:rPr>
        <w:t>會計師查核報告及所附財務報表之發現，</w:t>
      </w:r>
      <w:r w:rsidR="00627BEA" w:rsidRPr="0065164E">
        <w:rPr>
          <w:rFonts w:ascii="標楷體" w:eastAsia="標楷體" w:hAnsi="標楷體" w:hint="eastAsia"/>
          <w:sz w:val="28"/>
          <w:szCs w:val="28"/>
        </w:rPr>
        <w:t>以私校會計人員編製決算書為主軸，</w:t>
      </w:r>
      <w:r w:rsidR="00C472B2" w:rsidRPr="0065164E">
        <w:rPr>
          <w:rFonts w:ascii="標楷體" w:eastAsia="標楷體" w:hAnsi="標楷體"/>
          <w:sz w:val="28"/>
          <w:szCs w:val="28"/>
        </w:rPr>
        <w:t>賡續探討</w:t>
      </w:r>
      <w:r w:rsidR="002A1100" w:rsidRPr="0065164E">
        <w:rPr>
          <w:rFonts w:ascii="標楷體" w:eastAsia="標楷體" w:hAnsi="標楷體"/>
          <w:sz w:val="28"/>
          <w:szCs w:val="28"/>
        </w:rPr>
        <w:t>簽證</w:t>
      </w:r>
      <w:r w:rsidR="002A1100" w:rsidRPr="0065164E">
        <w:rPr>
          <w:rFonts w:ascii="標楷體" w:eastAsia="標楷體" w:hAnsi="標楷體" w:hint="eastAsia"/>
          <w:sz w:val="28"/>
          <w:szCs w:val="28"/>
        </w:rPr>
        <w:t>會計師</w:t>
      </w:r>
      <w:r w:rsidR="00425B88" w:rsidRPr="0065164E">
        <w:rPr>
          <w:rFonts w:ascii="標楷體" w:eastAsia="標楷體" w:hAnsi="標楷體" w:hint="eastAsia"/>
          <w:sz w:val="28"/>
          <w:szCs w:val="28"/>
        </w:rPr>
        <w:t>如何</w:t>
      </w:r>
      <w:r w:rsidR="002A1100" w:rsidRPr="0065164E">
        <w:rPr>
          <w:rFonts w:ascii="標楷體" w:eastAsia="標楷體" w:hAnsi="標楷體" w:hint="eastAsia"/>
          <w:sz w:val="28"/>
          <w:szCs w:val="28"/>
        </w:rPr>
        <w:t>協助</w:t>
      </w:r>
      <w:r w:rsidR="00425B88" w:rsidRPr="0065164E">
        <w:rPr>
          <w:rFonts w:ascii="標楷體" w:eastAsia="標楷體" w:hAnsi="標楷體"/>
          <w:sz w:val="28"/>
          <w:szCs w:val="28"/>
        </w:rPr>
        <w:t>私校</w:t>
      </w:r>
      <w:r w:rsidR="00C472B2" w:rsidRPr="0065164E">
        <w:rPr>
          <w:rFonts w:ascii="標楷體" w:eastAsia="標楷體" w:hAnsi="標楷體"/>
          <w:sz w:val="28"/>
          <w:szCs w:val="28"/>
        </w:rPr>
        <w:t>提升財務報表</w:t>
      </w:r>
      <w:r w:rsidR="00425B88" w:rsidRPr="0065164E">
        <w:rPr>
          <w:rFonts w:ascii="標楷體" w:eastAsia="標楷體" w:hAnsi="標楷體" w:hint="eastAsia"/>
          <w:sz w:val="28"/>
          <w:szCs w:val="28"/>
        </w:rPr>
        <w:t>之</w:t>
      </w:r>
      <w:r w:rsidR="00C472B2" w:rsidRPr="0065164E">
        <w:rPr>
          <w:rFonts w:ascii="標楷體" w:eastAsia="標楷體" w:hAnsi="標楷體"/>
          <w:sz w:val="28"/>
          <w:szCs w:val="28"/>
        </w:rPr>
        <w:t>品質。</w:t>
      </w:r>
    </w:p>
    <w:p w:rsidR="007901A2" w:rsidRPr="0065164E" w:rsidRDefault="007901A2" w:rsidP="007C7BB3">
      <w:pPr>
        <w:ind w:left="720" w:firstLineChars="200" w:firstLine="560"/>
        <w:rPr>
          <w:rFonts w:ascii="標楷體" w:eastAsia="標楷體" w:hAnsi="標楷體"/>
          <w:sz w:val="28"/>
          <w:szCs w:val="28"/>
        </w:rPr>
      </w:pPr>
    </w:p>
    <w:p w:rsidR="00E07BB1" w:rsidRPr="0065164E" w:rsidRDefault="00627BEA" w:rsidP="00E07BB1">
      <w:pPr>
        <w:pStyle w:val="a3"/>
        <w:numPr>
          <w:ilvl w:val="0"/>
          <w:numId w:val="1"/>
        </w:numPr>
        <w:ind w:leftChars="0"/>
        <w:rPr>
          <w:rFonts w:ascii="標楷體" w:eastAsia="標楷體" w:hAnsi="標楷體"/>
          <w:sz w:val="28"/>
          <w:szCs w:val="28"/>
        </w:rPr>
      </w:pPr>
      <w:r w:rsidRPr="0065164E">
        <w:rPr>
          <w:rFonts w:ascii="標楷體" w:eastAsia="標楷體" w:hAnsi="標楷體" w:hint="eastAsia"/>
          <w:sz w:val="28"/>
          <w:szCs w:val="28"/>
        </w:rPr>
        <w:t>法人及其</w:t>
      </w:r>
      <w:r w:rsidR="00792F21" w:rsidRPr="0065164E">
        <w:rPr>
          <w:rFonts w:ascii="標楷體" w:eastAsia="標楷體" w:hAnsi="標楷體"/>
          <w:sz w:val="28"/>
          <w:szCs w:val="28"/>
        </w:rPr>
        <w:t>私校決算</w:t>
      </w:r>
      <w:r w:rsidR="00792F21" w:rsidRPr="0065164E">
        <w:rPr>
          <w:rFonts w:ascii="標楷體" w:eastAsia="標楷體" w:hAnsi="標楷體" w:hint="eastAsia"/>
          <w:sz w:val="28"/>
          <w:szCs w:val="28"/>
          <w:lang w:eastAsia="zh-HK"/>
        </w:rPr>
        <w:t>表</w:t>
      </w:r>
      <w:r w:rsidR="00E07BB1" w:rsidRPr="0065164E">
        <w:rPr>
          <w:rFonts w:ascii="標楷體" w:eastAsia="標楷體" w:hAnsi="標楷體"/>
          <w:sz w:val="28"/>
          <w:szCs w:val="28"/>
        </w:rPr>
        <w:t>之主要內容及</w:t>
      </w:r>
      <w:r w:rsidR="00792F21" w:rsidRPr="0065164E">
        <w:rPr>
          <w:rFonts w:ascii="標楷體" w:eastAsia="標楷體" w:hAnsi="標楷體" w:hint="eastAsia"/>
          <w:sz w:val="28"/>
          <w:szCs w:val="28"/>
          <w:lang w:eastAsia="zh-HK"/>
        </w:rPr>
        <w:t>重要</w:t>
      </w:r>
      <w:r w:rsidR="00E07BB1" w:rsidRPr="0065164E">
        <w:rPr>
          <w:rFonts w:ascii="標楷體" w:eastAsia="標楷體" w:hAnsi="標楷體"/>
          <w:sz w:val="28"/>
          <w:szCs w:val="28"/>
        </w:rPr>
        <w:t>規定</w:t>
      </w:r>
    </w:p>
    <w:p w:rsidR="00C472B2" w:rsidRPr="0065164E" w:rsidRDefault="00AD33D4" w:rsidP="00792F21">
      <w:pPr>
        <w:pStyle w:val="a3"/>
        <w:numPr>
          <w:ilvl w:val="0"/>
          <w:numId w:val="2"/>
        </w:numPr>
        <w:ind w:leftChars="0" w:left="993"/>
        <w:rPr>
          <w:rFonts w:ascii="標楷體" w:eastAsia="標楷體" w:hAnsi="標楷體"/>
          <w:sz w:val="28"/>
          <w:szCs w:val="28"/>
        </w:rPr>
      </w:pPr>
      <w:r w:rsidRPr="0065164E">
        <w:rPr>
          <w:rFonts w:ascii="標楷體" w:eastAsia="標楷體" w:hAnsi="標楷體"/>
          <w:sz w:val="28"/>
          <w:szCs w:val="28"/>
        </w:rPr>
        <w:lastRenderedPageBreak/>
        <w:t>主要內容</w:t>
      </w:r>
    </w:p>
    <w:p w:rsidR="00AD33D4" w:rsidRPr="0065164E" w:rsidRDefault="00AD33D4" w:rsidP="00792F21">
      <w:pPr>
        <w:pStyle w:val="a3"/>
        <w:ind w:leftChars="0" w:left="1008" w:firstLineChars="200" w:firstLine="560"/>
        <w:rPr>
          <w:rFonts w:ascii="標楷體" w:eastAsia="標楷體" w:hAnsi="標楷體"/>
          <w:sz w:val="28"/>
          <w:szCs w:val="28"/>
        </w:rPr>
      </w:pPr>
      <w:r w:rsidRPr="0065164E">
        <w:rPr>
          <w:rFonts w:ascii="標楷體" w:eastAsia="標楷體" w:hAnsi="標楷體"/>
          <w:sz w:val="28"/>
          <w:szCs w:val="28"/>
        </w:rPr>
        <w:t>依會計制度之一致</w:t>
      </w:r>
      <w:r w:rsidR="00A41DD2" w:rsidRPr="0065164E">
        <w:rPr>
          <w:rFonts w:ascii="標楷體" w:eastAsia="標楷體" w:hAnsi="標楷體"/>
          <w:sz w:val="28"/>
          <w:szCs w:val="28"/>
        </w:rPr>
        <w:t>規定第</w:t>
      </w:r>
      <w:r w:rsidR="00A41DD2" w:rsidRPr="0065164E">
        <w:rPr>
          <w:rFonts w:ascii="標楷體" w:eastAsia="標楷體" w:hAnsi="標楷體" w:hint="eastAsia"/>
          <w:sz w:val="28"/>
          <w:szCs w:val="28"/>
        </w:rPr>
        <w:t>9</w:t>
      </w:r>
      <w:r w:rsidR="00CD193C" w:rsidRPr="0065164E">
        <w:rPr>
          <w:rFonts w:ascii="標楷體" w:eastAsia="標楷體" w:hAnsi="標楷體" w:hint="eastAsia"/>
          <w:sz w:val="28"/>
          <w:szCs w:val="28"/>
          <w:lang w:eastAsia="zh-HK"/>
        </w:rPr>
        <w:t>段與第14段</w:t>
      </w:r>
      <w:r w:rsidR="00627BEA" w:rsidRPr="0065164E">
        <w:rPr>
          <w:rFonts w:ascii="標楷體" w:eastAsia="標楷體" w:hAnsi="標楷體" w:hint="eastAsia"/>
          <w:sz w:val="28"/>
          <w:szCs w:val="28"/>
        </w:rPr>
        <w:t>之</w:t>
      </w:r>
      <w:r w:rsidR="00A41DD2" w:rsidRPr="0065164E">
        <w:rPr>
          <w:rFonts w:ascii="標楷體" w:eastAsia="標楷體" w:hAnsi="標楷體"/>
          <w:sz w:val="28"/>
          <w:szCs w:val="28"/>
        </w:rPr>
        <w:t>規定，</w:t>
      </w:r>
      <w:r w:rsidR="0000392D" w:rsidRPr="0065164E">
        <w:rPr>
          <w:rFonts w:ascii="標楷體" w:eastAsia="標楷體" w:hAnsi="標楷體" w:hint="eastAsia"/>
          <w:sz w:val="28"/>
          <w:szCs w:val="28"/>
        </w:rPr>
        <w:t>學校法人及所設私立學校</w:t>
      </w:r>
      <w:r w:rsidR="00CD193C" w:rsidRPr="0065164E">
        <w:rPr>
          <w:rFonts w:ascii="標楷體" w:eastAsia="標楷體" w:hAnsi="標楷體" w:hint="eastAsia"/>
          <w:sz w:val="28"/>
          <w:szCs w:val="28"/>
        </w:rPr>
        <w:t>(</w:t>
      </w:r>
      <w:r w:rsidR="00CD193C" w:rsidRPr="0065164E">
        <w:rPr>
          <w:rFonts w:ascii="標楷體" w:eastAsia="標楷體" w:hAnsi="標楷體" w:hint="eastAsia"/>
          <w:sz w:val="28"/>
          <w:szCs w:val="28"/>
          <w:lang w:eastAsia="zh-HK"/>
        </w:rPr>
        <w:t>以下簡稱法人及其私校)</w:t>
      </w:r>
      <w:r w:rsidR="0000392D" w:rsidRPr="0065164E">
        <w:rPr>
          <w:rFonts w:ascii="標楷體" w:eastAsia="標楷體" w:hAnsi="標楷體" w:hint="eastAsia"/>
          <w:sz w:val="28"/>
          <w:szCs w:val="28"/>
        </w:rPr>
        <w:t>應分別編製單獨報導主體之對外報告，並應另行編製以法人及其私校為報導主體之合併財務報表。但學校法人僅設一所私立學校，其支出僅有董事會支出，且其會計制度併入所設私立學校會計制度辦理者，得提供所設私立學校為報導主體之財務報表，並應充分揭露相關之董事會支出資訊。</w:t>
      </w:r>
      <w:r w:rsidR="00CD193C" w:rsidRPr="0065164E">
        <w:rPr>
          <w:rFonts w:ascii="標楷體" w:eastAsia="標楷體" w:hAnsi="標楷體"/>
          <w:sz w:val="28"/>
          <w:szCs w:val="28"/>
        </w:rPr>
        <w:t>決算</w:t>
      </w:r>
      <w:r w:rsidR="00CD193C" w:rsidRPr="0065164E">
        <w:rPr>
          <w:rFonts w:ascii="標楷體" w:eastAsia="標楷體" w:hAnsi="標楷體" w:hint="eastAsia"/>
          <w:sz w:val="28"/>
          <w:szCs w:val="28"/>
          <w:lang w:eastAsia="zh-HK"/>
        </w:rPr>
        <w:t>表</w:t>
      </w:r>
      <w:r w:rsidR="007901A2" w:rsidRPr="0065164E">
        <w:rPr>
          <w:rFonts w:ascii="標楷體" w:eastAsia="標楷體" w:hAnsi="標楷體"/>
          <w:sz w:val="28"/>
          <w:szCs w:val="28"/>
        </w:rPr>
        <w:t>之主要內容包括</w:t>
      </w:r>
      <w:r w:rsidR="0000392D" w:rsidRPr="0065164E">
        <w:rPr>
          <w:rFonts w:ascii="新細明體" w:eastAsia="新細明體" w:hAnsi="新細明體" w:hint="eastAsia"/>
          <w:sz w:val="28"/>
          <w:szCs w:val="28"/>
        </w:rPr>
        <w:t>：</w:t>
      </w:r>
    </w:p>
    <w:p w:rsidR="00AD33D4" w:rsidRPr="0065164E" w:rsidRDefault="0000392D" w:rsidP="00792F21">
      <w:pPr>
        <w:pStyle w:val="a3"/>
        <w:numPr>
          <w:ilvl w:val="0"/>
          <w:numId w:val="3"/>
        </w:numPr>
        <w:ind w:leftChars="0" w:left="1843"/>
        <w:rPr>
          <w:rFonts w:ascii="標楷體" w:eastAsia="標楷體" w:hAnsi="標楷體"/>
          <w:sz w:val="28"/>
          <w:szCs w:val="28"/>
        </w:rPr>
      </w:pPr>
      <w:r w:rsidRPr="0065164E">
        <w:rPr>
          <w:rFonts w:ascii="標楷體" w:eastAsia="標楷體" w:hAnsi="標楷體"/>
          <w:sz w:val="28"/>
          <w:szCs w:val="28"/>
        </w:rPr>
        <w:t>主要表計有</w:t>
      </w:r>
      <w:r w:rsidRPr="0065164E">
        <w:rPr>
          <w:rFonts w:ascii="新細明體" w:eastAsia="新細明體" w:hAnsi="新細明體" w:hint="eastAsia"/>
          <w:sz w:val="28"/>
          <w:szCs w:val="28"/>
        </w:rPr>
        <w:t>：</w:t>
      </w:r>
      <w:r w:rsidRPr="0065164E">
        <w:rPr>
          <w:rFonts w:ascii="標楷體" w:eastAsia="標楷體" w:hAnsi="標楷體" w:hint="eastAsia"/>
          <w:sz w:val="28"/>
          <w:szCs w:val="28"/>
        </w:rPr>
        <w:t>平衡表</w:t>
      </w:r>
      <w:r w:rsidRPr="0065164E">
        <w:rPr>
          <w:rFonts w:ascii="標楷體" w:eastAsia="標楷體" w:hAnsi="標楷體"/>
          <w:sz w:val="28"/>
          <w:szCs w:val="28"/>
        </w:rPr>
        <w:t>、</w:t>
      </w:r>
      <w:r w:rsidRPr="0065164E">
        <w:rPr>
          <w:rFonts w:ascii="標楷體" w:eastAsia="標楷體" w:hAnsi="標楷體" w:hint="eastAsia"/>
          <w:sz w:val="28"/>
          <w:szCs w:val="28"/>
        </w:rPr>
        <w:t>收支餘絀表</w:t>
      </w:r>
      <w:r w:rsidRPr="0065164E">
        <w:rPr>
          <w:rFonts w:ascii="標楷體" w:eastAsia="標楷體" w:hAnsi="標楷體"/>
          <w:sz w:val="28"/>
          <w:szCs w:val="28"/>
        </w:rPr>
        <w:t>、</w:t>
      </w:r>
      <w:r w:rsidRPr="0065164E">
        <w:rPr>
          <w:rFonts w:ascii="標楷體" w:eastAsia="標楷體" w:hAnsi="標楷體" w:hint="eastAsia"/>
          <w:sz w:val="28"/>
          <w:szCs w:val="28"/>
        </w:rPr>
        <w:t>現金流量表</w:t>
      </w:r>
      <w:r w:rsidRPr="0065164E">
        <w:rPr>
          <w:rFonts w:ascii="標楷體" w:eastAsia="標楷體" w:hAnsi="標楷體"/>
          <w:sz w:val="28"/>
          <w:szCs w:val="28"/>
        </w:rPr>
        <w:t>及</w:t>
      </w:r>
      <w:r w:rsidRPr="0065164E">
        <w:rPr>
          <w:rFonts w:ascii="標楷體" w:eastAsia="標楷體" w:hAnsi="標楷體" w:hint="eastAsia"/>
          <w:sz w:val="28"/>
          <w:szCs w:val="28"/>
        </w:rPr>
        <w:t>現金收支概況表</w:t>
      </w:r>
      <w:r w:rsidRPr="0065164E">
        <w:rPr>
          <w:rFonts w:ascii="標楷體" w:eastAsia="標楷體" w:hAnsi="標楷體"/>
          <w:sz w:val="28"/>
          <w:szCs w:val="28"/>
        </w:rPr>
        <w:t>。</w:t>
      </w:r>
    </w:p>
    <w:p w:rsidR="0000392D" w:rsidRPr="0065164E" w:rsidRDefault="00F0736A" w:rsidP="00CD193C">
      <w:pPr>
        <w:pStyle w:val="a3"/>
        <w:numPr>
          <w:ilvl w:val="0"/>
          <w:numId w:val="3"/>
        </w:numPr>
        <w:ind w:leftChars="0" w:left="1843"/>
        <w:rPr>
          <w:rFonts w:ascii="標楷體" w:eastAsia="標楷體" w:hAnsi="標楷體"/>
          <w:sz w:val="28"/>
          <w:szCs w:val="28"/>
        </w:rPr>
      </w:pPr>
      <w:r w:rsidRPr="0065164E">
        <w:rPr>
          <w:rFonts w:ascii="標楷體" w:eastAsia="標楷體" w:hAnsi="標楷體"/>
          <w:sz w:val="28"/>
          <w:szCs w:val="28"/>
        </w:rPr>
        <w:t>明細表計有</w:t>
      </w:r>
      <w:r w:rsidRPr="0065164E">
        <w:rPr>
          <w:rFonts w:ascii="新細明體" w:eastAsia="新細明體" w:hAnsi="新細明體" w:hint="eastAsia"/>
          <w:sz w:val="28"/>
          <w:szCs w:val="28"/>
        </w:rPr>
        <w:t>：</w:t>
      </w:r>
      <w:r w:rsidRPr="0065164E">
        <w:rPr>
          <w:rFonts w:ascii="標楷體" w:eastAsia="標楷體" w:hAnsi="標楷體" w:hint="eastAsia"/>
          <w:sz w:val="28"/>
          <w:szCs w:val="28"/>
        </w:rPr>
        <w:t>固定資產及無形資產變動表</w:t>
      </w:r>
      <w:r w:rsidRPr="0065164E">
        <w:rPr>
          <w:rFonts w:ascii="標楷體" w:eastAsia="標楷體" w:hAnsi="標楷體"/>
          <w:sz w:val="28"/>
          <w:szCs w:val="28"/>
        </w:rPr>
        <w:t>、</w:t>
      </w:r>
      <w:r w:rsidRPr="0065164E">
        <w:rPr>
          <w:rFonts w:ascii="標楷體" w:eastAsia="標楷體" w:hAnsi="標楷體" w:hint="eastAsia"/>
          <w:sz w:val="28"/>
          <w:szCs w:val="28"/>
        </w:rPr>
        <w:t>借入款變動表</w:t>
      </w:r>
      <w:r w:rsidRPr="0065164E">
        <w:rPr>
          <w:rFonts w:ascii="標楷體" w:eastAsia="標楷體" w:hAnsi="標楷體"/>
          <w:sz w:val="28"/>
          <w:szCs w:val="28"/>
        </w:rPr>
        <w:t>、</w:t>
      </w:r>
      <w:r w:rsidRPr="0065164E">
        <w:rPr>
          <w:rFonts w:ascii="標楷體" w:eastAsia="標楷體" w:hAnsi="標楷體" w:hint="eastAsia"/>
          <w:sz w:val="28"/>
          <w:szCs w:val="28"/>
        </w:rPr>
        <w:t>收入明細表</w:t>
      </w:r>
      <w:r w:rsidRPr="0065164E">
        <w:rPr>
          <w:rFonts w:ascii="標楷體" w:eastAsia="標楷體" w:hAnsi="標楷體"/>
          <w:sz w:val="28"/>
          <w:szCs w:val="28"/>
        </w:rPr>
        <w:t>、</w:t>
      </w:r>
      <w:r w:rsidRPr="0065164E">
        <w:rPr>
          <w:rFonts w:ascii="標楷體" w:eastAsia="標楷體" w:hAnsi="標楷體" w:hint="eastAsia"/>
          <w:sz w:val="28"/>
          <w:szCs w:val="28"/>
        </w:rPr>
        <w:t>支出明細表</w:t>
      </w:r>
      <w:r w:rsidR="00CD193C" w:rsidRPr="0065164E">
        <w:rPr>
          <w:rFonts w:ascii="標楷體" w:eastAsia="標楷體" w:hAnsi="標楷體"/>
          <w:sz w:val="28"/>
          <w:szCs w:val="28"/>
        </w:rPr>
        <w:t>、</w:t>
      </w:r>
      <w:r w:rsidR="00CD193C" w:rsidRPr="0065164E">
        <w:rPr>
          <w:rFonts w:ascii="標楷體" w:eastAsia="標楷體" w:hAnsi="標楷體" w:hint="eastAsia"/>
          <w:sz w:val="28"/>
          <w:szCs w:val="28"/>
          <w:lang w:eastAsia="zh-HK"/>
        </w:rPr>
        <w:t>資產與負債</w:t>
      </w:r>
      <w:r w:rsidRPr="0065164E">
        <w:rPr>
          <w:rFonts w:ascii="標楷體" w:eastAsia="標楷體" w:hAnsi="標楷體" w:hint="eastAsia"/>
          <w:sz w:val="28"/>
          <w:szCs w:val="28"/>
        </w:rPr>
        <w:t>各科目明細表</w:t>
      </w:r>
      <w:r w:rsidR="00627BEA" w:rsidRPr="0065164E">
        <w:rPr>
          <w:rFonts w:ascii="標楷體" w:eastAsia="標楷體" w:hAnsi="標楷體" w:hint="eastAsia"/>
          <w:sz w:val="28"/>
          <w:szCs w:val="28"/>
        </w:rPr>
        <w:t>及最近3年財務分析表</w:t>
      </w:r>
      <w:r w:rsidRPr="0065164E">
        <w:rPr>
          <w:rFonts w:ascii="標楷體" w:eastAsia="標楷體" w:hAnsi="標楷體"/>
          <w:sz w:val="28"/>
          <w:szCs w:val="28"/>
        </w:rPr>
        <w:t>。</w:t>
      </w:r>
    </w:p>
    <w:p w:rsidR="00AD33D4" w:rsidRPr="0065164E" w:rsidRDefault="00CD193C" w:rsidP="00792F21">
      <w:pPr>
        <w:pStyle w:val="a3"/>
        <w:numPr>
          <w:ilvl w:val="0"/>
          <w:numId w:val="2"/>
        </w:numPr>
        <w:ind w:leftChars="0" w:left="993"/>
        <w:rPr>
          <w:rFonts w:ascii="標楷體" w:eastAsia="標楷體" w:hAnsi="標楷體"/>
          <w:sz w:val="28"/>
          <w:szCs w:val="28"/>
        </w:rPr>
      </w:pPr>
      <w:r w:rsidRPr="0065164E">
        <w:rPr>
          <w:rFonts w:ascii="標楷體" w:eastAsia="標楷體" w:hAnsi="標楷體" w:hint="eastAsia"/>
          <w:sz w:val="28"/>
          <w:szCs w:val="28"/>
          <w:lang w:eastAsia="zh-HK"/>
        </w:rPr>
        <w:t>重要</w:t>
      </w:r>
      <w:r w:rsidR="00AD33D4" w:rsidRPr="0065164E">
        <w:rPr>
          <w:rFonts w:ascii="標楷體" w:eastAsia="標楷體" w:hAnsi="標楷體"/>
          <w:sz w:val="28"/>
          <w:szCs w:val="28"/>
        </w:rPr>
        <w:t>規定</w:t>
      </w:r>
    </w:p>
    <w:p w:rsidR="0000392D" w:rsidRPr="0065164E" w:rsidRDefault="00CD193C" w:rsidP="00F84C40">
      <w:pPr>
        <w:pStyle w:val="a3"/>
        <w:numPr>
          <w:ilvl w:val="0"/>
          <w:numId w:val="5"/>
        </w:numPr>
        <w:ind w:leftChars="0" w:left="1843" w:hanging="856"/>
        <w:rPr>
          <w:rFonts w:ascii="標楷體" w:eastAsia="標楷體" w:hAnsi="標楷體"/>
          <w:sz w:val="28"/>
          <w:szCs w:val="28"/>
        </w:rPr>
      </w:pPr>
      <w:r w:rsidRPr="0065164E">
        <w:rPr>
          <w:rFonts w:ascii="標楷體" w:eastAsia="標楷體" w:hAnsi="標楷體" w:hint="eastAsia"/>
          <w:sz w:val="28"/>
          <w:szCs w:val="28"/>
          <w:lang w:eastAsia="zh-HK"/>
        </w:rPr>
        <w:t>法人及其私校</w:t>
      </w:r>
      <w:r w:rsidR="00CC06D2" w:rsidRPr="0065164E">
        <w:rPr>
          <w:rFonts w:ascii="標楷體" w:eastAsia="標楷體" w:hAnsi="標楷體"/>
          <w:sz w:val="28"/>
          <w:szCs w:val="28"/>
        </w:rPr>
        <w:t>編製決算表除彙編成冊，</w:t>
      </w:r>
      <w:r w:rsidRPr="0065164E">
        <w:rPr>
          <w:rFonts w:ascii="標楷體" w:eastAsia="標楷體" w:hAnsi="標楷體" w:hint="eastAsia"/>
          <w:sz w:val="28"/>
          <w:szCs w:val="28"/>
          <w:lang w:eastAsia="zh-HK"/>
        </w:rPr>
        <w:t>並</w:t>
      </w:r>
      <w:r w:rsidR="00CC06D2" w:rsidRPr="0065164E">
        <w:rPr>
          <w:rFonts w:ascii="標楷體" w:eastAsia="標楷體" w:hAnsi="標楷體"/>
          <w:sz w:val="28"/>
          <w:szCs w:val="28"/>
        </w:rPr>
        <w:t>於封底由製表人、主辦會計人員、校長及董事長簽名或蓋章外，須逐頁簽名或蓋章</w:t>
      </w:r>
      <w:r w:rsidRPr="0065164E">
        <w:rPr>
          <w:rFonts w:ascii="標楷體" w:eastAsia="標楷體" w:hAnsi="標楷體"/>
          <w:sz w:val="28"/>
          <w:szCs w:val="28"/>
        </w:rPr>
        <w:t>，</w:t>
      </w:r>
      <w:r w:rsidRPr="0065164E">
        <w:rPr>
          <w:rFonts w:ascii="標楷體" w:eastAsia="標楷體" w:hAnsi="標楷體" w:hint="eastAsia"/>
          <w:sz w:val="28"/>
          <w:szCs w:val="28"/>
          <w:lang w:eastAsia="zh-HK"/>
        </w:rPr>
        <w:t>惟以學校法人</w:t>
      </w:r>
      <w:r w:rsidR="00F109AD" w:rsidRPr="0065164E">
        <w:rPr>
          <w:rFonts w:ascii="標楷體" w:eastAsia="標楷體" w:hAnsi="標楷體" w:hint="eastAsia"/>
          <w:sz w:val="28"/>
          <w:szCs w:val="28"/>
          <w:lang w:eastAsia="zh-HK"/>
        </w:rPr>
        <w:t>為編製主體者，校長免簽章(會計制度之一致規定第48段)</w:t>
      </w:r>
      <w:r w:rsidR="000712B1" w:rsidRPr="0065164E">
        <w:rPr>
          <w:rFonts w:ascii="標楷體" w:eastAsia="標楷體" w:hAnsi="標楷體"/>
          <w:sz w:val="28"/>
          <w:szCs w:val="28"/>
        </w:rPr>
        <w:t>。</w:t>
      </w:r>
    </w:p>
    <w:p w:rsidR="000712B1" w:rsidRPr="0065164E" w:rsidRDefault="000712B1" w:rsidP="00040C0C">
      <w:pPr>
        <w:pStyle w:val="a3"/>
        <w:numPr>
          <w:ilvl w:val="0"/>
          <w:numId w:val="5"/>
        </w:numPr>
        <w:spacing w:before="240"/>
        <w:ind w:leftChars="0" w:left="1843"/>
        <w:rPr>
          <w:rFonts w:ascii="標楷體" w:eastAsia="標楷體" w:hAnsi="標楷體"/>
          <w:sz w:val="28"/>
          <w:szCs w:val="28"/>
        </w:rPr>
      </w:pPr>
      <w:r w:rsidRPr="0065164E">
        <w:rPr>
          <w:rFonts w:ascii="標楷體" w:eastAsia="標楷體" w:hAnsi="標楷體" w:hint="eastAsia"/>
          <w:sz w:val="28"/>
          <w:szCs w:val="28"/>
        </w:rPr>
        <w:lastRenderedPageBreak/>
        <w:t>除新設</w:t>
      </w:r>
      <w:r w:rsidR="00F653FE" w:rsidRPr="0065164E">
        <w:rPr>
          <w:rFonts w:ascii="標楷體" w:eastAsia="標楷體" w:hAnsi="標楷體" w:hint="eastAsia"/>
          <w:sz w:val="28"/>
          <w:szCs w:val="28"/>
          <w:lang w:eastAsia="zh-HK"/>
        </w:rPr>
        <w:t>法人及其私校</w:t>
      </w:r>
      <w:r w:rsidRPr="0065164E">
        <w:rPr>
          <w:rFonts w:ascii="標楷體" w:eastAsia="標楷體" w:hAnsi="標楷體" w:hint="eastAsia"/>
          <w:sz w:val="28"/>
          <w:szCs w:val="28"/>
        </w:rPr>
        <w:t>外，財務報表應採二期對照方式編製，其中平衡表並應列示增（減）金額；收支餘絀表應列示本年度預算數及本年度決算與預算比較</w:t>
      </w:r>
      <w:r w:rsidR="00F653FE" w:rsidRPr="0065164E">
        <w:rPr>
          <w:rFonts w:ascii="標楷體" w:eastAsia="標楷體" w:hAnsi="標楷體" w:hint="eastAsia"/>
          <w:sz w:val="28"/>
          <w:szCs w:val="28"/>
          <w:lang w:eastAsia="zh-HK"/>
        </w:rPr>
        <w:t>(會計制度之一致規定第4</w:t>
      </w:r>
      <w:r w:rsidR="00040C0C" w:rsidRPr="0065164E">
        <w:rPr>
          <w:rFonts w:ascii="標楷體" w:eastAsia="標楷體" w:hAnsi="標楷體" w:hint="eastAsia"/>
          <w:sz w:val="28"/>
          <w:szCs w:val="28"/>
          <w:lang w:eastAsia="zh-HK"/>
        </w:rPr>
        <w:t>7</w:t>
      </w:r>
      <w:r w:rsidR="00F653FE" w:rsidRPr="0065164E">
        <w:rPr>
          <w:rFonts w:ascii="標楷體" w:eastAsia="標楷體" w:hAnsi="標楷體" w:hint="eastAsia"/>
          <w:sz w:val="28"/>
          <w:szCs w:val="28"/>
          <w:lang w:eastAsia="zh-HK"/>
        </w:rPr>
        <w:t>段</w:t>
      </w:r>
      <w:r w:rsidR="00040C0C" w:rsidRPr="0065164E">
        <w:rPr>
          <w:rFonts w:ascii="標楷體" w:eastAsia="標楷體" w:hAnsi="標楷體" w:hint="eastAsia"/>
          <w:sz w:val="28"/>
          <w:szCs w:val="28"/>
          <w:lang w:eastAsia="zh-HK"/>
        </w:rPr>
        <w:t>)</w:t>
      </w:r>
      <w:r w:rsidRPr="0065164E">
        <w:rPr>
          <w:rFonts w:ascii="標楷體" w:eastAsia="標楷體" w:hAnsi="標楷體" w:hint="eastAsia"/>
          <w:sz w:val="28"/>
          <w:szCs w:val="28"/>
        </w:rPr>
        <w:t>。</w:t>
      </w:r>
      <w:r w:rsidRPr="0065164E">
        <w:rPr>
          <w:rFonts w:ascii="標楷體" w:eastAsia="標楷體" w:hAnsi="標楷體"/>
          <w:sz w:val="28"/>
          <w:szCs w:val="28"/>
        </w:rPr>
        <w:t>現金流量表以間接法表達，並按營運活動、投資活動及融資活動劃分，並揭露對財務狀況影響重大而不直接影響現金流量者</w:t>
      </w:r>
      <w:r w:rsidR="00040C0C" w:rsidRPr="0065164E">
        <w:rPr>
          <w:rFonts w:ascii="標楷體" w:eastAsia="標楷體" w:hAnsi="標楷體" w:hint="eastAsia"/>
          <w:sz w:val="28"/>
          <w:szCs w:val="28"/>
          <w:lang w:eastAsia="zh-HK"/>
        </w:rPr>
        <w:t>(會計制度之一致規定第80、81及82段)</w:t>
      </w:r>
      <w:r w:rsidRPr="0065164E">
        <w:rPr>
          <w:rFonts w:ascii="標楷體" w:eastAsia="標楷體" w:hAnsi="標楷體"/>
          <w:sz w:val="28"/>
          <w:szCs w:val="28"/>
        </w:rPr>
        <w:t>。</w:t>
      </w:r>
    </w:p>
    <w:p w:rsidR="00E07BB1" w:rsidRPr="0065164E" w:rsidRDefault="000712B1" w:rsidP="00040C0C">
      <w:pPr>
        <w:pStyle w:val="a3"/>
        <w:numPr>
          <w:ilvl w:val="0"/>
          <w:numId w:val="5"/>
        </w:numPr>
        <w:spacing w:before="240"/>
        <w:ind w:leftChars="0" w:left="1843"/>
        <w:rPr>
          <w:rFonts w:ascii="標楷體" w:eastAsia="標楷體" w:hAnsi="標楷體"/>
          <w:sz w:val="28"/>
          <w:szCs w:val="28"/>
        </w:rPr>
      </w:pPr>
      <w:r w:rsidRPr="0065164E">
        <w:rPr>
          <w:rFonts w:ascii="標楷體" w:eastAsia="標楷體" w:hAnsi="標楷體"/>
          <w:sz w:val="28"/>
          <w:szCs w:val="28"/>
        </w:rPr>
        <w:t>現金收支概況表須劃分</w:t>
      </w:r>
      <w:r w:rsidRPr="0065164E">
        <w:rPr>
          <w:rFonts w:ascii="標楷體" w:eastAsia="標楷體" w:hAnsi="標楷體" w:hint="eastAsia"/>
          <w:sz w:val="28"/>
          <w:szCs w:val="28"/>
        </w:rPr>
        <w:t>經常門現金收入(即現金流量表上之營運活動現金流入)、經常門現金支出(即現金流量表上之營運活動現金流出)、出售資產現金收入、購置動產、無形資產及其他資產現金支出、購置不動產現金支出</w:t>
      </w:r>
      <w:r w:rsidR="00040C0C" w:rsidRPr="0065164E">
        <w:rPr>
          <w:rFonts w:ascii="標楷體" w:eastAsia="標楷體" w:hAnsi="標楷體" w:hint="eastAsia"/>
          <w:sz w:val="28"/>
          <w:szCs w:val="28"/>
          <w:lang w:eastAsia="zh-HK"/>
        </w:rPr>
        <w:t>(會計制度之一致規定第83段)</w:t>
      </w:r>
      <w:r w:rsidRPr="0065164E">
        <w:rPr>
          <w:rFonts w:ascii="標楷體" w:eastAsia="標楷體" w:hAnsi="標楷體" w:hint="eastAsia"/>
          <w:sz w:val="28"/>
          <w:szCs w:val="28"/>
        </w:rPr>
        <w:t>。</w:t>
      </w:r>
    </w:p>
    <w:p w:rsidR="00F84C40" w:rsidRPr="0065164E" w:rsidRDefault="00F84C40" w:rsidP="00F84C40">
      <w:pPr>
        <w:pStyle w:val="a3"/>
        <w:numPr>
          <w:ilvl w:val="0"/>
          <w:numId w:val="1"/>
        </w:numPr>
        <w:ind w:leftChars="0"/>
        <w:rPr>
          <w:rFonts w:ascii="標楷體" w:eastAsia="標楷體" w:hAnsi="標楷體"/>
          <w:sz w:val="28"/>
          <w:szCs w:val="28"/>
        </w:rPr>
      </w:pPr>
      <w:r w:rsidRPr="0065164E">
        <w:rPr>
          <w:rFonts w:ascii="標楷體" w:eastAsia="標楷體" w:hAnsi="標楷體" w:hint="eastAsia"/>
          <w:sz w:val="28"/>
          <w:szCs w:val="28"/>
          <w:lang w:eastAsia="zh-HK"/>
        </w:rPr>
        <w:t>法人及其私校決算書尚存待精進之處</w:t>
      </w:r>
    </w:p>
    <w:p w:rsidR="00F84C40" w:rsidRPr="0065164E" w:rsidRDefault="00F84C40" w:rsidP="00F84C40">
      <w:pPr>
        <w:ind w:left="720" w:firstLineChars="200" w:firstLine="560"/>
        <w:rPr>
          <w:rFonts w:ascii="標楷體" w:eastAsia="標楷體" w:hAnsi="標楷體"/>
          <w:sz w:val="28"/>
          <w:szCs w:val="28"/>
          <w:lang w:eastAsia="zh-HK"/>
        </w:rPr>
      </w:pPr>
      <w:r w:rsidRPr="0065164E">
        <w:rPr>
          <w:rFonts w:ascii="標楷體" w:eastAsia="標楷體" w:hAnsi="標楷體" w:hint="eastAsia"/>
          <w:sz w:val="28"/>
          <w:szCs w:val="28"/>
          <w:lang w:eastAsia="zh-HK"/>
        </w:rPr>
        <w:t>本處</w:t>
      </w:r>
      <w:r w:rsidR="00627BEA" w:rsidRPr="0065164E">
        <w:rPr>
          <w:rFonts w:ascii="標楷體" w:eastAsia="標楷體" w:hAnsi="標楷體" w:hint="eastAsia"/>
          <w:sz w:val="28"/>
          <w:szCs w:val="28"/>
        </w:rPr>
        <w:t>沿例僅採行書面審核方式，</w:t>
      </w:r>
      <w:r w:rsidRPr="0065164E">
        <w:rPr>
          <w:rFonts w:ascii="標楷體" w:eastAsia="標楷體" w:hAnsi="標楷體" w:hint="eastAsia"/>
          <w:sz w:val="28"/>
          <w:szCs w:val="28"/>
          <w:lang w:eastAsia="zh-HK"/>
        </w:rPr>
        <w:t>審核法人及其私校函報教育部決算書之要項，於本刊第267期論述，不另贅述。茲就審核103學年度決算書所發現尚待精進之處彙總如附表，並</w:t>
      </w:r>
      <w:r w:rsidR="00627BEA" w:rsidRPr="0065164E">
        <w:rPr>
          <w:rFonts w:ascii="標楷體" w:eastAsia="標楷體" w:hAnsi="標楷體" w:hint="eastAsia"/>
          <w:sz w:val="28"/>
          <w:szCs w:val="28"/>
        </w:rPr>
        <w:t>以私校編製決算表為例，</w:t>
      </w:r>
      <w:r w:rsidRPr="0065164E">
        <w:rPr>
          <w:rFonts w:ascii="標楷體" w:eastAsia="標楷體" w:hAnsi="標楷體" w:hint="eastAsia"/>
          <w:sz w:val="28"/>
          <w:szCs w:val="28"/>
          <w:lang w:eastAsia="zh-HK"/>
        </w:rPr>
        <w:t>臚列與查核品質相關</w:t>
      </w:r>
      <w:r w:rsidR="00627BEA" w:rsidRPr="0065164E">
        <w:rPr>
          <w:rFonts w:ascii="標楷體" w:eastAsia="標楷體" w:hAnsi="標楷體" w:hint="eastAsia"/>
          <w:sz w:val="28"/>
          <w:szCs w:val="28"/>
        </w:rPr>
        <w:t>須注意</w:t>
      </w:r>
      <w:r w:rsidRPr="0065164E">
        <w:rPr>
          <w:rFonts w:ascii="標楷體" w:eastAsia="標楷體" w:hAnsi="標楷體" w:hint="eastAsia"/>
          <w:sz w:val="28"/>
          <w:szCs w:val="28"/>
          <w:lang w:eastAsia="zh-HK"/>
        </w:rPr>
        <w:t>要項如次：</w:t>
      </w:r>
    </w:p>
    <w:p w:rsidR="00627BEA" w:rsidRPr="0065164E" w:rsidRDefault="0098172C" w:rsidP="0098172C">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四張主要表，彼此金額不勾稽，如：現金收支概況表經常門現金餘絀與現金流量表之營運活動淨現金流入(出)金額不勾</w:t>
      </w:r>
      <w:r w:rsidRPr="0065164E">
        <w:rPr>
          <w:rFonts w:ascii="標楷體" w:eastAsia="標楷體" w:hAnsi="標楷體" w:hint="eastAsia"/>
          <w:sz w:val="28"/>
          <w:szCs w:val="28"/>
        </w:rPr>
        <w:lastRenderedPageBreak/>
        <w:t>稽。</w:t>
      </w:r>
    </w:p>
    <w:p w:rsidR="0098172C" w:rsidRPr="0065164E" w:rsidRDefault="0098172C" w:rsidP="00FD2A17">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四張主要表與明細表金額不勾稽，如：</w:t>
      </w:r>
    </w:p>
    <w:p w:rsidR="0098172C" w:rsidRPr="0065164E" w:rsidRDefault="0098172C" w:rsidP="00FD2A17">
      <w:pPr>
        <w:pStyle w:val="a3"/>
        <w:numPr>
          <w:ilvl w:val="0"/>
          <w:numId w:val="12"/>
        </w:numPr>
        <w:ind w:leftChars="0" w:left="1843"/>
        <w:rPr>
          <w:rFonts w:ascii="標楷體" w:eastAsia="標楷體" w:hAnsi="標楷體"/>
          <w:sz w:val="28"/>
          <w:szCs w:val="28"/>
        </w:rPr>
      </w:pPr>
      <w:r w:rsidRPr="0065164E">
        <w:rPr>
          <w:rFonts w:ascii="標楷體" w:eastAsia="標楷體" w:hAnsi="標楷體" w:hint="eastAsia"/>
          <w:sz w:val="28"/>
          <w:szCs w:val="28"/>
        </w:rPr>
        <w:t>收支餘絀表科目所列金額與其明細表所列金額不勾稽。</w:t>
      </w:r>
    </w:p>
    <w:p w:rsidR="00627BEA" w:rsidRPr="0065164E" w:rsidRDefault="0098172C" w:rsidP="00FD2A17">
      <w:pPr>
        <w:pStyle w:val="a3"/>
        <w:numPr>
          <w:ilvl w:val="0"/>
          <w:numId w:val="12"/>
        </w:numPr>
        <w:ind w:leftChars="0" w:left="1843"/>
        <w:rPr>
          <w:rFonts w:ascii="標楷體" w:eastAsia="標楷體" w:hAnsi="標楷體"/>
          <w:sz w:val="28"/>
          <w:szCs w:val="28"/>
        </w:rPr>
      </w:pPr>
      <w:r w:rsidRPr="0065164E">
        <w:rPr>
          <w:rFonts w:ascii="標楷體" w:eastAsia="標楷體" w:hAnsi="標楷體" w:hint="eastAsia"/>
          <w:sz w:val="28"/>
          <w:szCs w:val="28"/>
        </w:rPr>
        <w:t>固定資產與無形資產變動表列示固定資產上年度止結存金額及本年度</w:t>
      </w:r>
      <w:r w:rsidR="00984C19" w:rsidRPr="0065164E">
        <w:rPr>
          <w:rFonts w:ascii="標楷體" w:eastAsia="標楷體" w:hAnsi="標楷體" w:hint="eastAsia"/>
          <w:sz w:val="28"/>
          <w:szCs w:val="28"/>
        </w:rPr>
        <w:t>止結存金額</w:t>
      </w:r>
      <w:r w:rsidRPr="0065164E">
        <w:rPr>
          <w:rFonts w:ascii="標楷體" w:eastAsia="標楷體" w:hAnsi="標楷體" w:hint="eastAsia"/>
          <w:sz w:val="28"/>
          <w:szCs w:val="28"/>
        </w:rPr>
        <w:t>，分別與平衡表中固定資產上年度及本年度決算數不勾稽。</w:t>
      </w:r>
    </w:p>
    <w:p w:rsidR="00627BEA" w:rsidRPr="0065164E" w:rsidRDefault="00FD2A17" w:rsidP="00FD2A17">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明細表與明細表間相關數據不勾稽，如經核算固定資產及無形資產變動表所列本年度提列折舊及攤銷</w:t>
      </w:r>
      <w:r w:rsidR="00772E1B" w:rsidRPr="0065164E">
        <w:rPr>
          <w:rFonts w:ascii="標楷體" w:eastAsia="標楷體" w:hAnsi="標楷體" w:hint="eastAsia"/>
          <w:sz w:val="28"/>
          <w:szCs w:val="28"/>
        </w:rPr>
        <w:t>數</w:t>
      </w:r>
      <w:r w:rsidRPr="0065164E">
        <w:rPr>
          <w:rFonts w:ascii="標楷體" w:eastAsia="標楷體" w:hAnsi="標楷體" w:hint="eastAsia"/>
          <w:sz w:val="28"/>
          <w:szCs w:val="28"/>
        </w:rPr>
        <w:t>與支出明細表各功能別科目所列折舊及攤銷合計數未臻相符。</w:t>
      </w:r>
    </w:p>
    <w:p w:rsidR="009350B5" w:rsidRPr="0065164E" w:rsidRDefault="00627BEA" w:rsidP="0098172C">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編製現金流量表</w:t>
      </w:r>
      <w:r w:rsidR="00425B88" w:rsidRPr="0065164E">
        <w:rPr>
          <w:rFonts w:ascii="標楷體" w:eastAsia="標楷體" w:hAnsi="標楷體" w:hint="eastAsia"/>
          <w:sz w:val="28"/>
          <w:szCs w:val="28"/>
        </w:rPr>
        <w:t>存</w:t>
      </w:r>
      <w:r w:rsidR="005E4391" w:rsidRPr="0065164E">
        <w:rPr>
          <w:rFonts w:ascii="標楷體" w:eastAsia="標楷體" w:hAnsi="標楷體" w:hint="eastAsia"/>
          <w:sz w:val="28"/>
          <w:szCs w:val="28"/>
        </w:rPr>
        <w:t>有以借、貸餘額互抵後之淨額表達</w:t>
      </w:r>
      <w:r w:rsidR="00573977" w:rsidRPr="0065164E">
        <w:rPr>
          <w:rFonts w:ascii="標楷體" w:eastAsia="標楷體" w:hAnsi="標楷體" w:hint="eastAsia"/>
          <w:sz w:val="28"/>
          <w:szCs w:val="28"/>
        </w:rPr>
        <w:t>，未符一般公認會計原則</w:t>
      </w:r>
      <w:r w:rsidR="005E4391" w:rsidRPr="0065164E">
        <w:rPr>
          <w:rFonts w:ascii="標楷體" w:eastAsia="標楷體" w:hAnsi="標楷體" w:hint="eastAsia"/>
          <w:sz w:val="28"/>
          <w:szCs w:val="28"/>
        </w:rPr>
        <w:t>，如收回存</w:t>
      </w:r>
      <w:bookmarkStart w:id="0" w:name="_GoBack"/>
      <w:bookmarkEnd w:id="0"/>
      <w:r w:rsidR="005E4391" w:rsidRPr="0065164E">
        <w:rPr>
          <w:rFonts w:ascii="標楷體" w:eastAsia="標楷體" w:hAnsi="標楷體" w:hint="eastAsia"/>
          <w:sz w:val="28"/>
          <w:szCs w:val="28"/>
        </w:rPr>
        <w:t>出保證金收現數、支出存出保證金付現數等項目常以淨額表達。</w:t>
      </w:r>
      <w:r w:rsidR="0098172C" w:rsidRPr="0065164E">
        <w:rPr>
          <w:rFonts w:ascii="標楷體" w:eastAsia="標楷體" w:hAnsi="標楷體" w:hint="eastAsia"/>
          <w:sz w:val="28"/>
          <w:szCs w:val="28"/>
        </w:rPr>
        <w:t>依一般公認會計原則之規定，編製現金流量表除約當現金以外之短期投資、短期貸墊款</w:t>
      </w:r>
      <w:r w:rsidR="006F76BE" w:rsidRPr="0065164E">
        <w:rPr>
          <w:rFonts w:ascii="標楷體" w:eastAsia="標楷體" w:hAnsi="標楷體" w:hint="eastAsia"/>
          <w:sz w:val="28"/>
          <w:szCs w:val="28"/>
        </w:rPr>
        <w:t>及</w:t>
      </w:r>
      <w:r w:rsidR="0098172C" w:rsidRPr="0065164E">
        <w:rPr>
          <w:rFonts w:ascii="標楷體" w:eastAsia="標楷體" w:hAnsi="標楷體" w:hint="eastAsia"/>
          <w:sz w:val="28"/>
          <w:szCs w:val="28"/>
        </w:rPr>
        <w:t>短期債務</w:t>
      </w:r>
      <w:r w:rsidR="006F76BE" w:rsidRPr="0065164E">
        <w:rPr>
          <w:rFonts w:ascii="標楷體" w:eastAsia="標楷體" w:hAnsi="標楷體" w:hint="eastAsia"/>
          <w:sz w:val="28"/>
          <w:szCs w:val="28"/>
        </w:rPr>
        <w:t>，</w:t>
      </w:r>
      <w:r w:rsidR="0098172C" w:rsidRPr="0065164E">
        <w:rPr>
          <w:rFonts w:ascii="標楷體" w:eastAsia="標楷體" w:hAnsi="標楷體" w:hint="eastAsia"/>
          <w:sz w:val="28"/>
          <w:szCs w:val="28"/>
        </w:rPr>
        <w:t>若</w:t>
      </w:r>
      <w:r w:rsidR="00283FAF" w:rsidRPr="0065164E">
        <w:rPr>
          <w:rFonts w:ascii="標楷體" w:eastAsia="標楷體" w:hAnsi="標楷體" w:hint="eastAsia"/>
          <w:sz w:val="28"/>
          <w:szCs w:val="28"/>
        </w:rPr>
        <w:t>其</w:t>
      </w:r>
      <w:r w:rsidR="0098172C" w:rsidRPr="0065164E">
        <w:rPr>
          <w:rFonts w:ascii="標楷體" w:eastAsia="標楷體" w:hAnsi="標楷體" w:hint="eastAsia"/>
          <w:sz w:val="28"/>
          <w:szCs w:val="28"/>
        </w:rPr>
        <w:t>週轉快、金額大，且原始到期日在三個月以內者，</w:t>
      </w:r>
      <w:r w:rsidR="00573977" w:rsidRPr="0065164E">
        <w:rPr>
          <w:rFonts w:ascii="標楷體" w:eastAsia="標楷體" w:hAnsi="標楷體" w:hint="eastAsia"/>
          <w:sz w:val="28"/>
          <w:szCs w:val="28"/>
        </w:rPr>
        <w:t>方</w:t>
      </w:r>
      <w:r w:rsidR="0098172C" w:rsidRPr="0065164E">
        <w:rPr>
          <w:rFonts w:ascii="標楷體" w:eastAsia="標楷體" w:hAnsi="標楷體" w:hint="eastAsia"/>
          <w:sz w:val="28"/>
          <w:szCs w:val="28"/>
        </w:rPr>
        <w:t>可按淨額表達外，其餘凡涉及投資活動與融資活動各現金流量項目</w:t>
      </w:r>
      <w:r w:rsidR="006F76BE" w:rsidRPr="0065164E">
        <w:rPr>
          <w:rFonts w:ascii="標楷體" w:eastAsia="標楷體" w:hAnsi="標楷體" w:hint="eastAsia"/>
          <w:sz w:val="28"/>
          <w:szCs w:val="28"/>
        </w:rPr>
        <w:t>均</w:t>
      </w:r>
      <w:r w:rsidR="0098172C" w:rsidRPr="0065164E">
        <w:rPr>
          <w:rFonts w:ascii="標楷體" w:eastAsia="標楷體" w:hAnsi="標楷體" w:hint="eastAsia"/>
          <w:sz w:val="28"/>
          <w:szCs w:val="28"/>
        </w:rPr>
        <w:t>須以總額表示。</w:t>
      </w:r>
    </w:p>
    <w:p w:rsidR="00B57F5D" w:rsidRPr="0065164E" w:rsidRDefault="00627BEA" w:rsidP="0098172C">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編製現金收支概況表未符</w:t>
      </w:r>
      <w:r w:rsidR="009350B5" w:rsidRPr="0065164E">
        <w:rPr>
          <w:rFonts w:ascii="標楷體" w:eastAsia="標楷體" w:hAnsi="標楷體" w:hint="eastAsia"/>
          <w:sz w:val="28"/>
          <w:szCs w:val="28"/>
        </w:rPr>
        <w:t>會計制度之一致規定之規定</w:t>
      </w:r>
      <w:r w:rsidR="00187ED2" w:rsidRPr="0065164E">
        <w:rPr>
          <w:rFonts w:ascii="標楷體" w:eastAsia="標楷體" w:hAnsi="標楷體" w:hint="eastAsia"/>
          <w:sz w:val="28"/>
          <w:szCs w:val="28"/>
        </w:rPr>
        <w:t>。</w:t>
      </w:r>
    </w:p>
    <w:p w:rsidR="009350B5" w:rsidRPr="0065164E" w:rsidRDefault="009350B5" w:rsidP="0098172C">
      <w:pPr>
        <w:pStyle w:val="a3"/>
        <w:numPr>
          <w:ilvl w:val="0"/>
          <w:numId w:val="11"/>
        </w:numPr>
        <w:ind w:leftChars="0" w:left="993"/>
        <w:rPr>
          <w:rFonts w:ascii="標楷體" w:eastAsia="標楷體" w:hAnsi="標楷體"/>
          <w:sz w:val="28"/>
          <w:szCs w:val="28"/>
        </w:rPr>
      </w:pPr>
      <w:r w:rsidRPr="0065164E">
        <w:rPr>
          <w:rFonts w:ascii="標楷體" w:eastAsia="標楷體" w:hAnsi="標楷體" w:hint="eastAsia"/>
          <w:sz w:val="28"/>
          <w:szCs w:val="28"/>
        </w:rPr>
        <w:t>其他項目：</w:t>
      </w:r>
    </w:p>
    <w:p w:rsidR="00F84C40" w:rsidRPr="0065164E" w:rsidRDefault="009350B5" w:rsidP="008A7BB3">
      <w:pPr>
        <w:pStyle w:val="a3"/>
        <w:numPr>
          <w:ilvl w:val="0"/>
          <w:numId w:val="7"/>
        </w:numPr>
        <w:ind w:leftChars="0" w:left="1701"/>
        <w:rPr>
          <w:rFonts w:ascii="標楷體" w:eastAsia="標楷體" w:hAnsi="標楷體"/>
          <w:sz w:val="28"/>
          <w:szCs w:val="28"/>
        </w:rPr>
      </w:pPr>
      <w:r w:rsidRPr="0065164E">
        <w:rPr>
          <w:rFonts w:ascii="標楷體" w:eastAsia="標楷體" w:hAnsi="標楷體" w:hint="eastAsia"/>
          <w:sz w:val="28"/>
          <w:szCs w:val="28"/>
        </w:rPr>
        <w:lastRenderedPageBreak/>
        <w:t>部分決算表會計科(項)目名稱或金額與會計師查核後之財務報表及附註相關部分有</w:t>
      </w:r>
      <w:r w:rsidR="00425B88" w:rsidRPr="0065164E">
        <w:rPr>
          <w:rFonts w:ascii="標楷體" w:eastAsia="標楷體" w:hAnsi="標楷體" w:hint="eastAsia"/>
          <w:sz w:val="28"/>
          <w:szCs w:val="28"/>
        </w:rPr>
        <w:t>異</w:t>
      </w:r>
      <w:r w:rsidRPr="0065164E">
        <w:rPr>
          <w:rFonts w:ascii="標楷體" w:eastAsia="標楷體" w:hAnsi="標楷體" w:hint="eastAsia"/>
          <w:sz w:val="28"/>
          <w:szCs w:val="28"/>
        </w:rPr>
        <w:t>。</w:t>
      </w:r>
    </w:p>
    <w:p w:rsidR="009350B5" w:rsidRPr="0065164E" w:rsidRDefault="009350B5" w:rsidP="008A7BB3">
      <w:pPr>
        <w:pStyle w:val="a3"/>
        <w:numPr>
          <w:ilvl w:val="0"/>
          <w:numId w:val="7"/>
        </w:numPr>
        <w:ind w:leftChars="0" w:left="1701"/>
        <w:rPr>
          <w:rFonts w:ascii="標楷體" w:eastAsia="標楷體" w:hAnsi="標楷體"/>
          <w:sz w:val="28"/>
          <w:szCs w:val="28"/>
        </w:rPr>
      </w:pPr>
      <w:r w:rsidRPr="0065164E">
        <w:rPr>
          <w:rFonts w:ascii="標楷體" w:eastAsia="標楷體" w:hAnsi="標楷體" w:hint="eastAsia"/>
          <w:sz w:val="28"/>
          <w:szCs w:val="28"/>
        </w:rPr>
        <w:t>103學年度決算表所列上年度決算數與102學年度決算表所列數字不合。</w:t>
      </w:r>
    </w:p>
    <w:p w:rsidR="009350B5" w:rsidRPr="0065164E" w:rsidRDefault="009350B5" w:rsidP="008A7BB3">
      <w:pPr>
        <w:pStyle w:val="a3"/>
        <w:numPr>
          <w:ilvl w:val="0"/>
          <w:numId w:val="7"/>
        </w:numPr>
        <w:ind w:leftChars="0" w:left="1701"/>
        <w:rPr>
          <w:rFonts w:ascii="標楷體" w:eastAsia="標楷體" w:hAnsi="標楷體"/>
          <w:sz w:val="28"/>
          <w:szCs w:val="28"/>
        </w:rPr>
      </w:pPr>
      <w:r w:rsidRPr="0065164E">
        <w:rPr>
          <w:rFonts w:ascii="標楷體" w:eastAsia="標楷體" w:hAnsi="標楷體" w:hint="eastAsia"/>
          <w:sz w:val="28"/>
          <w:szCs w:val="28"/>
        </w:rPr>
        <w:t>103學年度決算表所列預算數與教育部備查預算數未臻一致。</w:t>
      </w:r>
    </w:p>
    <w:p w:rsidR="009350B5" w:rsidRPr="0065164E" w:rsidRDefault="009350B5" w:rsidP="008A7BB3">
      <w:pPr>
        <w:pStyle w:val="a3"/>
        <w:numPr>
          <w:ilvl w:val="0"/>
          <w:numId w:val="7"/>
        </w:numPr>
        <w:ind w:leftChars="0" w:left="1701"/>
        <w:rPr>
          <w:rFonts w:ascii="標楷體" w:eastAsia="標楷體" w:hAnsi="標楷體"/>
          <w:sz w:val="28"/>
          <w:szCs w:val="28"/>
        </w:rPr>
      </w:pPr>
      <w:r w:rsidRPr="0065164E">
        <w:rPr>
          <w:rFonts w:ascii="標楷體" w:eastAsia="標楷體" w:hAnsi="標楷體" w:hint="eastAsia"/>
          <w:sz w:val="28"/>
          <w:szCs w:val="28"/>
        </w:rPr>
        <w:t>未配合教育部函示，修訂會計科(項)目名稱或分類及編造明細表格式。</w:t>
      </w:r>
    </w:p>
    <w:p w:rsidR="009350B5" w:rsidRPr="0065164E" w:rsidRDefault="009350B5" w:rsidP="008A7BB3">
      <w:pPr>
        <w:pStyle w:val="a3"/>
        <w:numPr>
          <w:ilvl w:val="0"/>
          <w:numId w:val="7"/>
        </w:numPr>
        <w:ind w:leftChars="0" w:left="1701"/>
        <w:rPr>
          <w:rFonts w:ascii="標楷體" w:eastAsia="標楷體" w:hAnsi="標楷體"/>
          <w:sz w:val="28"/>
          <w:szCs w:val="28"/>
        </w:rPr>
      </w:pPr>
      <w:r w:rsidRPr="0065164E">
        <w:rPr>
          <w:rFonts w:ascii="標楷體" w:eastAsia="標楷體" w:hAnsi="標楷體" w:hint="eastAsia"/>
          <w:sz w:val="28"/>
          <w:szCs w:val="28"/>
        </w:rPr>
        <w:t>由明細表摘要或備註發現會計處理未符合一般公認會計原則或存有須處理而未處理會計事項，如應收帳款與其他應收款歸類未臻妥適，未向電信公司申請退還電話保證金</w:t>
      </w:r>
      <w:r w:rsidR="00772E1B" w:rsidRPr="0065164E">
        <w:rPr>
          <w:rFonts w:ascii="標楷體" w:eastAsia="標楷體" w:hAnsi="標楷體" w:hint="eastAsia"/>
          <w:sz w:val="28"/>
          <w:szCs w:val="28"/>
        </w:rPr>
        <w:t>等</w:t>
      </w:r>
      <w:r w:rsidRPr="0065164E">
        <w:rPr>
          <w:rFonts w:ascii="標楷體" w:eastAsia="標楷體" w:hAnsi="標楷體" w:hint="eastAsia"/>
          <w:sz w:val="28"/>
          <w:szCs w:val="28"/>
        </w:rPr>
        <w:t>。</w:t>
      </w:r>
    </w:p>
    <w:p w:rsidR="009350B5" w:rsidRPr="0065164E" w:rsidRDefault="00B57F5D" w:rsidP="00B57F5D">
      <w:pPr>
        <w:pStyle w:val="a3"/>
        <w:numPr>
          <w:ilvl w:val="0"/>
          <w:numId w:val="1"/>
        </w:numPr>
        <w:ind w:leftChars="0"/>
        <w:rPr>
          <w:rFonts w:ascii="標楷體" w:eastAsia="標楷體" w:hAnsi="標楷體"/>
          <w:sz w:val="28"/>
          <w:szCs w:val="28"/>
        </w:rPr>
      </w:pPr>
      <w:r w:rsidRPr="0065164E">
        <w:rPr>
          <w:rFonts w:ascii="標楷體" w:eastAsia="標楷體" w:hAnsi="標楷體" w:hint="eastAsia"/>
          <w:sz w:val="28"/>
          <w:szCs w:val="28"/>
        </w:rPr>
        <w:t>精進決算</w:t>
      </w:r>
      <w:r w:rsidRPr="0065164E">
        <w:rPr>
          <w:rFonts w:ascii="標楷體" w:eastAsia="標楷體" w:hAnsi="標楷體" w:hint="eastAsia"/>
          <w:sz w:val="28"/>
          <w:szCs w:val="28"/>
          <w:lang w:eastAsia="zh-HK"/>
        </w:rPr>
        <w:t>作業</w:t>
      </w:r>
      <w:r w:rsidRPr="0065164E">
        <w:rPr>
          <w:rFonts w:ascii="標楷體" w:eastAsia="標楷體" w:hAnsi="標楷體" w:hint="eastAsia"/>
          <w:sz w:val="28"/>
          <w:szCs w:val="28"/>
        </w:rPr>
        <w:t>品質之道</w:t>
      </w:r>
    </w:p>
    <w:p w:rsidR="00B57F5D" w:rsidRPr="0065164E" w:rsidRDefault="00B57F5D" w:rsidP="00B57F5D">
      <w:pPr>
        <w:ind w:left="720" w:firstLineChars="200" w:firstLine="560"/>
        <w:rPr>
          <w:rFonts w:ascii="標楷體" w:eastAsia="標楷體" w:hAnsi="標楷體"/>
          <w:sz w:val="28"/>
          <w:szCs w:val="28"/>
        </w:rPr>
      </w:pPr>
      <w:r w:rsidRPr="0065164E">
        <w:rPr>
          <w:rFonts w:ascii="標楷體" w:eastAsia="標楷體" w:hAnsi="標楷體" w:hint="eastAsia"/>
          <w:sz w:val="28"/>
          <w:szCs w:val="28"/>
        </w:rPr>
        <w:t>提升決算作業品質，首要在於平時處理會計事務必須本著會計專業知</w:t>
      </w:r>
      <w:r w:rsidR="007B0908" w:rsidRPr="0065164E">
        <w:rPr>
          <w:rFonts w:ascii="標楷體" w:eastAsia="標楷體" w:hAnsi="標楷體" w:hint="eastAsia"/>
          <w:sz w:val="28"/>
          <w:szCs w:val="28"/>
        </w:rPr>
        <w:t>能</w:t>
      </w:r>
      <w:r w:rsidRPr="0065164E">
        <w:rPr>
          <w:rFonts w:ascii="標楷體" w:eastAsia="標楷體" w:hAnsi="標楷體" w:hint="eastAsia"/>
          <w:sz w:val="28"/>
          <w:szCs w:val="28"/>
        </w:rPr>
        <w:t>，依會計制度之一致規定，在法律允許範圍內，遵守一般公認會計原則審慎處理</w:t>
      </w:r>
      <w:r w:rsidR="00425B88" w:rsidRPr="0065164E">
        <w:rPr>
          <w:rFonts w:ascii="標楷體" w:eastAsia="標楷體" w:hAnsi="標楷體" w:hint="eastAsia"/>
          <w:sz w:val="28"/>
          <w:szCs w:val="28"/>
        </w:rPr>
        <w:t>。</w:t>
      </w:r>
      <w:r w:rsidRPr="0065164E">
        <w:rPr>
          <w:rFonts w:ascii="標楷體" w:eastAsia="標楷體" w:hAnsi="標楷體" w:hint="eastAsia"/>
          <w:sz w:val="28"/>
          <w:szCs w:val="28"/>
        </w:rPr>
        <w:t>茲配合上述與查核品質有關須注意事項之說明，臚列勾稽要項及帳務處理要項如次：</w:t>
      </w:r>
    </w:p>
    <w:p w:rsidR="00B57F5D" w:rsidRPr="0065164E" w:rsidRDefault="008A7BB3" w:rsidP="008A7BB3">
      <w:pPr>
        <w:pStyle w:val="a3"/>
        <w:numPr>
          <w:ilvl w:val="0"/>
          <w:numId w:val="15"/>
        </w:numPr>
        <w:ind w:leftChars="0" w:left="993"/>
        <w:rPr>
          <w:rFonts w:ascii="標楷體" w:eastAsia="標楷體" w:hAnsi="標楷體"/>
          <w:sz w:val="28"/>
          <w:szCs w:val="28"/>
        </w:rPr>
      </w:pPr>
      <w:r w:rsidRPr="0065164E">
        <w:rPr>
          <w:rFonts w:ascii="標楷體" w:eastAsia="標楷體" w:hAnsi="標楷體" w:hint="eastAsia"/>
          <w:sz w:val="28"/>
          <w:szCs w:val="28"/>
        </w:rPr>
        <w:t>勾稽部分</w:t>
      </w:r>
    </w:p>
    <w:p w:rsidR="008A7BB3" w:rsidRPr="0065164E" w:rsidRDefault="0003342B" w:rsidP="008A7BB3">
      <w:pPr>
        <w:pStyle w:val="a3"/>
        <w:numPr>
          <w:ilvl w:val="0"/>
          <w:numId w:val="16"/>
        </w:numPr>
        <w:ind w:leftChars="0" w:left="1701"/>
        <w:rPr>
          <w:rFonts w:ascii="標楷體" w:eastAsia="標楷體" w:hAnsi="標楷體"/>
          <w:sz w:val="28"/>
          <w:szCs w:val="28"/>
        </w:rPr>
      </w:pPr>
      <w:r w:rsidRPr="0065164E">
        <w:rPr>
          <w:rFonts w:ascii="標楷體" w:eastAsia="標楷體" w:hAnsi="標楷體" w:hint="eastAsia"/>
          <w:sz w:val="28"/>
          <w:szCs w:val="28"/>
        </w:rPr>
        <w:t>四張主要表勾稽要項：</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7"/>
        <w:gridCol w:w="1559"/>
        <w:gridCol w:w="1559"/>
        <w:gridCol w:w="1985"/>
        <w:gridCol w:w="1229"/>
      </w:tblGrid>
      <w:tr w:rsidR="00BE00EA" w:rsidRPr="0065164E" w:rsidTr="001C4D6C">
        <w:trPr>
          <w:jc w:val="center"/>
        </w:trPr>
        <w:tc>
          <w:tcPr>
            <w:tcW w:w="1997" w:type="dxa"/>
          </w:tcPr>
          <w:p w:rsidR="00BE00EA" w:rsidRPr="0065164E" w:rsidRDefault="00BE00EA" w:rsidP="00BE00EA">
            <w:pPr>
              <w:pStyle w:val="a8"/>
              <w:spacing w:line="320" w:lineRule="exact"/>
              <w:ind w:left="1"/>
              <w:jc w:val="center"/>
              <w:rPr>
                <w:rFonts w:ascii="Times New Roman" w:eastAsia="標楷體" w:hAnsi="Times New Roman"/>
                <w:b w:val="0"/>
                <w:sz w:val="26"/>
              </w:rPr>
            </w:pPr>
            <w:r w:rsidRPr="0065164E">
              <w:rPr>
                <w:rFonts w:ascii="Times New Roman" w:eastAsia="標楷體" w:hAnsi="Times New Roman" w:hint="eastAsia"/>
                <w:b w:val="0"/>
                <w:sz w:val="26"/>
              </w:rPr>
              <w:lastRenderedPageBreak/>
              <w:t>主要表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收支餘絀表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現金流量表</w:t>
            </w:r>
          </w:p>
        </w:tc>
        <w:tc>
          <w:tcPr>
            <w:tcW w:w="1985"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現金收支概況表</w:t>
            </w:r>
          </w:p>
        </w:tc>
        <w:tc>
          <w:tcPr>
            <w:tcW w:w="1229"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平衡表</w:t>
            </w:r>
          </w:p>
        </w:tc>
      </w:tr>
      <w:tr w:rsidR="00BE00EA" w:rsidRPr="0065164E" w:rsidTr="001C4D6C">
        <w:trPr>
          <w:jc w:val="center"/>
        </w:trPr>
        <w:tc>
          <w:tcPr>
            <w:tcW w:w="1997"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收支餘絀表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註一</w:t>
            </w:r>
          </w:p>
        </w:tc>
        <w:tc>
          <w:tcPr>
            <w:tcW w:w="1985"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註二</w:t>
            </w:r>
          </w:p>
        </w:tc>
        <w:tc>
          <w:tcPr>
            <w:tcW w:w="122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r>
      <w:tr w:rsidR="00BE00EA" w:rsidRPr="0065164E" w:rsidTr="001C4D6C">
        <w:trPr>
          <w:jc w:val="center"/>
        </w:trPr>
        <w:tc>
          <w:tcPr>
            <w:tcW w:w="1997" w:type="dxa"/>
            <w:vAlign w:val="center"/>
          </w:tcPr>
          <w:p w:rsidR="00BE00EA" w:rsidRPr="0065164E" w:rsidRDefault="001C4D6C"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現金流量表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註一</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c>
          <w:tcPr>
            <w:tcW w:w="1985"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註三</w:t>
            </w:r>
          </w:p>
        </w:tc>
        <w:tc>
          <w:tcPr>
            <w:tcW w:w="122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註四</w:t>
            </w:r>
          </w:p>
        </w:tc>
      </w:tr>
      <w:tr w:rsidR="00BE00EA" w:rsidRPr="0065164E" w:rsidTr="001C4D6C">
        <w:trPr>
          <w:jc w:val="center"/>
        </w:trPr>
        <w:tc>
          <w:tcPr>
            <w:tcW w:w="1997" w:type="dxa"/>
            <w:vAlign w:val="center"/>
          </w:tcPr>
          <w:p w:rsidR="00BE00EA" w:rsidRPr="0065164E" w:rsidRDefault="001C4D6C"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現金收支概況表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註二</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註三</w:t>
            </w:r>
          </w:p>
        </w:tc>
        <w:tc>
          <w:tcPr>
            <w:tcW w:w="1985"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c>
          <w:tcPr>
            <w:tcW w:w="1229" w:type="dxa"/>
            <w:vAlign w:val="center"/>
          </w:tcPr>
          <w:p w:rsidR="00BE00EA" w:rsidRPr="0065164E" w:rsidRDefault="008E6524"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r>
      <w:tr w:rsidR="00BE00EA" w:rsidRPr="0065164E" w:rsidTr="001C4D6C">
        <w:trPr>
          <w:jc w:val="center"/>
        </w:trPr>
        <w:tc>
          <w:tcPr>
            <w:tcW w:w="1997" w:type="dxa"/>
            <w:vAlign w:val="center"/>
          </w:tcPr>
          <w:p w:rsidR="00BE00EA" w:rsidRPr="0065164E" w:rsidRDefault="00BE00EA" w:rsidP="00BE00EA">
            <w:pPr>
              <w:pStyle w:val="a8"/>
              <w:spacing w:line="320" w:lineRule="exact"/>
              <w:jc w:val="center"/>
              <w:rPr>
                <w:rFonts w:ascii="Times New Roman" w:eastAsia="標楷體" w:hAnsi="Times New Roman"/>
                <w:b w:val="0"/>
                <w:sz w:val="26"/>
              </w:rPr>
            </w:pPr>
            <w:r w:rsidRPr="0065164E">
              <w:rPr>
                <w:rFonts w:ascii="Times New Roman" w:eastAsia="標楷體" w:hAnsi="Times New Roman" w:hint="eastAsia"/>
                <w:b w:val="0"/>
                <w:sz w:val="26"/>
              </w:rPr>
              <w:t>平衡表</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c>
          <w:tcPr>
            <w:tcW w:w="155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註四</w:t>
            </w:r>
          </w:p>
        </w:tc>
        <w:tc>
          <w:tcPr>
            <w:tcW w:w="1985" w:type="dxa"/>
            <w:vAlign w:val="center"/>
          </w:tcPr>
          <w:p w:rsidR="00BE00EA" w:rsidRPr="0065164E" w:rsidRDefault="008E6524"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c>
          <w:tcPr>
            <w:tcW w:w="1229" w:type="dxa"/>
            <w:vAlign w:val="center"/>
          </w:tcPr>
          <w:p w:rsidR="00BE00EA" w:rsidRPr="0065164E" w:rsidRDefault="00BE00EA" w:rsidP="00BE00EA">
            <w:pPr>
              <w:pStyle w:val="a8"/>
              <w:spacing w:line="320" w:lineRule="exact"/>
              <w:jc w:val="center"/>
              <w:rPr>
                <w:rFonts w:ascii="Times New Roman" w:eastAsia="標楷體" w:hAnsi="Times New Roman"/>
                <w:b w:val="0"/>
                <w:sz w:val="28"/>
              </w:rPr>
            </w:pPr>
            <w:r w:rsidRPr="0065164E">
              <w:rPr>
                <w:rFonts w:ascii="Times New Roman" w:eastAsia="標楷體" w:hAnsi="Times New Roman" w:hint="eastAsia"/>
                <w:b w:val="0"/>
                <w:sz w:val="28"/>
              </w:rPr>
              <w:t>＊</w:t>
            </w:r>
          </w:p>
        </w:tc>
      </w:tr>
    </w:tbl>
    <w:p w:rsidR="00BE00EA" w:rsidRPr="0065164E" w:rsidRDefault="001C4D6C" w:rsidP="00696B92">
      <w:pPr>
        <w:ind w:leftChars="-2" w:left="757" w:hangingChars="272" w:hanging="762"/>
        <w:rPr>
          <w:rFonts w:ascii="標楷體" w:eastAsia="標楷體" w:hAnsi="標楷體"/>
          <w:sz w:val="28"/>
          <w:szCs w:val="28"/>
        </w:rPr>
      </w:pPr>
      <w:r w:rsidRPr="0065164E">
        <w:rPr>
          <w:rFonts w:ascii="標楷體" w:eastAsia="標楷體" w:hAnsi="標楷體" w:hint="eastAsia"/>
          <w:sz w:val="28"/>
          <w:szCs w:val="28"/>
        </w:rPr>
        <w:t>註一：</w:t>
      </w:r>
      <w:r w:rsidR="00BE00EA" w:rsidRPr="0065164E">
        <w:rPr>
          <w:rFonts w:ascii="標楷體" w:eastAsia="標楷體" w:hAnsi="標楷體" w:hint="eastAsia"/>
          <w:sz w:val="28"/>
          <w:szCs w:val="28"/>
        </w:rPr>
        <w:t>收支餘絀表本期餘絀科目須與</w:t>
      </w:r>
      <w:r w:rsidR="003420D7" w:rsidRPr="0065164E">
        <w:rPr>
          <w:rFonts w:ascii="標楷體" w:eastAsia="標楷體" w:hAnsi="標楷體" w:hint="eastAsia"/>
          <w:sz w:val="28"/>
          <w:szCs w:val="28"/>
        </w:rPr>
        <w:t>現金流量</w:t>
      </w:r>
      <w:r w:rsidR="00BE00EA" w:rsidRPr="0065164E">
        <w:rPr>
          <w:rFonts w:ascii="標楷體" w:eastAsia="標楷體" w:hAnsi="標楷體" w:hint="eastAsia"/>
          <w:sz w:val="28"/>
          <w:szCs w:val="28"/>
        </w:rPr>
        <w:t>表本期餘絀項目所列金額勾稽。</w:t>
      </w:r>
    </w:p>
    <w:p w:rsidR="00BE00EA" w:rsidRPr="0065164E" w:rsidRDefault="00BE00EA" w:rsidP="00696B92">
      <w:pPr>
        <w:ind w:leftChars="-2" w:left="757" w:hangingChars="272" w:hanging="762"/>
        <w:rPr>
          <w:rFonts w:ascii="標楷體" w:eastAsia="標楷體" w:hAnsi="標楷體"/>
          <w:sz w:val="28"/>
          <w:szCs w:val="28"/>
        </w:rPr>
      </w:pPr>
      <w:r w:rsidRPr="0065164E">
        <w:rPr>
          <w:rFonts w:ascii="標楷體" w:eastAsia="標楷體" w:hAnsi="標楷體" w:hint="eastAsia"/>
          <w:sz w:val="28"/>
          <w:szCs w:val="28"/>
        </w:rPr>
        <w:t>註二</w:t>
      </w:r>
      <w:r w:rsidR="008E6524" w:rsidRPr="0065164E">
        <w:rPr>
          <w:rFonts w:ascii="標楷體" w:eastAsia="標楷體" w:hAnsi="標楷體" w:hint="eastAsia"/>
          <w:sz w:val="28"/>
          <w:szCs w:val="28"/>
        </w:rPr>
        <w:t>：現金收支概況表計算經常門現金餘絀所列經常門現金收入與經常門現金支出須與收支餘絀表各項收支科目金額勾稽</w:t>
      </w:r>
      <w:r w:rsidRPr="0065164E">
        <w:rPr>
          <w:rFonts w:ascii="標楷體" w:eastAsia="標楷體" w:hAnsi="標楷體" w:hint="eastAsia"/>
          <w:sz w:val="28"/>
          <w:szCs w:val="28"/>
        </w:rPr>
        <w:t>。</w:t>
      </w:r>
    </w:p>
    <w:p w:rsidR="00BE00EA" w:rsidRPr="0065164E" w:rsidRDefault="00BE00EA" w:rsidP="00696B92">
      <w:pPr>
        <w:ind w:leftChars="-2" w:left="757" w:hangingChars="272" w:hanging="762"/>
        <w:rPr>
          <w:rFonts w:ascii="標楷體" w:eastAsia="標楷體" w:hAnsi="標楷體"/>
          <w:sz w:val="28"/>
          <w:szCs w:val="28"/>
        </w:rPr>
      </w:pPr>
      <w:r w:rsidRPr="0065164E">
        <w:rPr>
          <w:rFonts w:ascii="標楷體" w:eastAsia="標楷體" w:hAnsi="標楷體" w:hint="eastAsia"/>
          <w:sz w:val="28"/>
          <w:szCs w:val="28"/>
        </w:rPr>
        <w:t>註三</w:t>
      </w:r>
      <w:r w:rsidR="008E6524" w:rsidRPr="0065164E">
        <w:rPr>
          <w:rFonts w:ascii="標楷體" w:eastAsia="標楷體" w:hAnsi="標楷體" w:hint="eastAsia"/>
          <w:sz w:val="28"/>
          <w:szCs w:val="28"/>
        </w:rPr>
        <w:t>：現金收支概況表與現金流量表之勾稽原則如次：</w:t>
      </w:r>
    </w:p>
    <w:p w:rsidR="008E6524" w:rsidRPr="0065164E" w:rsidRDefault="006867F6" w:rsidP="00A37963">
      <w:pPr>
        <w:pStyle w:val="a3"/>
        <w:numPr>
          <w:ilvl w:val="0"/>
          <w:numId w:val="18"/>
        </w:numPr>
        <w:ind w:leftChars="0"/>
        <w:rPr>
          <w:rFonts w:ascii="標楷體" w:eastAsia="標楷體" w:hAnsi="標楷體"/>
          <w:sz w:val="28"/>
          <w:szCs w:val="28"/>
        </w:rPr>
      </w:pPr>
      <w:r w:rsidRPr="0065164E">
        <w:rPr>
          <w:rFonts w:ascii="標楷體" w:eastAsia="標楷體" w:hAnsi="標楷體" w:hint="eastAsia"/>
          <w:sz w:val="28"/>
          <w:szCs w:val="28"/>
        </w:rPr>
        <w:t>現金收支概況表中「經常門現金餘絀」，應與現金流量表上「營運活動淨現金流入(出) 」金額相等</w:t>
      </w:r>
      <w:r w:rsidR="00772E1B" w:rsidRPr="0065164E">
        <w:rPr>
          <w:rFonts w:ascii="標楷體" w:eastAsia="標楷體" w:hAnsi="標楷體" w:hint="eastAsia"/>
          <w:sz w:val="28"/>
          <w:szCs w:val="28"/>
        </w:rPr>
        <w:t>(會計制度之一致規定第84段)</w:t>
      </w:r>
      <w:r w:rsidRPr="0065164E">
        <w:rPr>
          <w:rFonts w:ascii="標楷體" w:eastAsia="標楷體" w:hAnsi="標楷體" w:hint="eastAsia"/>
          <w:sz w:val="28"/>
          <w:szCs w:val="28"/>
        </w:rPr>
        <w:t>。</w:t>
      </w:r>
    </w:p>
    <w:p w:rsidR="00A37963" w:rsidRPr="0065164E" w:rsidRDefault="00A37963" w:rsidP="00A37963">
      <w:pPr>
        <w:pStyle w:val="a3"/>
        <w:numPr>
          <w:ilvl w:val="0"/>
          <w:numId w:val="18"/>
        </w:numPr>
        <w:ind w:leftChars="0"/>
        <w:rPr>
          <w:rFonts w:ascii="標楷體" w:eastAsia="標楷體" w:hAnsi="標楷體"/>
          <w:sz w:val="28"/>
          <w:szCs w:val="28"/>
        </w:rPr>
      </w:pPr>
      <w:r w:rsidRPr="0065164E">
        <w:rPr>
          <w:rFonts w:ascii="標楷體" w:eastAsia="標楷體" w:hAnsi="標楷體" w:hint="eastAsia"/>
          <w:sz w:val="28"/>
          <w:szCs w:val="28"/>
        </w:rPr>
        <w:t>現金收支概況表中「出售資產現金收入」，應與現金流量表中「出售固定資產收現數」、「出售無形資產收現數」及「出售其他資產收現數」之合計數相等</w:t>
      </w:r>
      <w:r w:rsidR="00772E1B" w:rsidRPr="0065164E">
        <w:rPr>
          <w:rFonts w:ascii="標楷體" w:eastAsia="標楷體" w:hAnsi="標楷體" w:hint="eastAsia"/>
          <w:sz w:val="28"/>
          <w:szCs w:val="28"/>
        </w:rPr>
        <w:t>(會計制度之一致規定第84段)</w:t>
      </w:r>
      <w:r w:rsidRPr="0065164E">
        <w:rPr>
          <w:rFonts w:ascii="標楷體" w:eastAsia="標楷體" w:hAnsi="標楷體" w:hint="eastAsia"/>
          <w:sz w:val="28"/>
          <w:szCs w:val="28"/>
        </w:rPr>
        <w:t>。</w:t>
      </w:r>
    </w:p>
    <w:p w:rsidR="00A37963" w:rsidRPr="0065164E" w:rsidRDefault="00A37963" w:rsidP="00A37963">
      <w:pPr>
        <w:pStyle w:val="a3"/>
        <w:numPr>
          <w:ilvl w:val="0"/>
          <w:numId w:val="18"/>
        </w:numPr>
        <w:ind w:leftChars="0"/>
        <w:rPr>
          <w:rFonts w:ascii="標楷體" w:eastAsia="標楷體" w:hAnsi="標楷體"/>
          <w:sz w:val="28"/>
          <w:szCs w:val="28"/>
        </w:rPr>
      </w:pPr>
      <w:r w:rsidRPr="0065164E">
        <w:rPr>
          <w:rFonts w:ascii="標楷體" w:eastAsia="標楷體" w:hAnsi="標楷體" w:hint="eastAsia"/>
          <w:sz w:val="28"/>
          <w:szCs w:val="28"/>
        </w:rPr>
        <w:t>現金收支概況表中「購置動產、無形資產及其他資產現金支出」與「購置不動產現金支出」合計數，應與現金流量表中「購置固定資產付現數」、「購置無形資產付現數」及「購置其他資產付現數」之合計數相等</w:t>
      </w:r>
      <w:r w:rsidR="00772E1B" w:rsidRPr="0065164E">
        <w:rPr>
          <w:rFonts w:ascii="標楷體" w:eastAsia="標楷體" w:hAnsi="標楷體" w:hint="eastAsia"/>
          <w:sz w:val="28"/>
          <w:szCs w:val="28"/>
        </w:rPr>
        <w:t>(會計制度之一致規定第84段)</w:t>
      </w:r>
      <w:r w:rsidRPr="0065164E">
        <w:rPr>
          <w:rFonts w:ascii="標楷體" w:eastAsia="標楷體" w:hAnsi="標楷體" w:hint="eastAsia"/>
          <w:sz w:val="28"/>
          <w:szCs w:val="28"/>
        </w:rPr>
        <w:t>。</w:t>
      </w:r>
    </w:p>
    <w:p w:rsidR="00BE00EA" w:rsidRPr="0065164E" w:rsidRDefault="00BE00EA" w:rsidP="00696B92">
      <w:pPr>
        <w:ind w:leftChars="-2" w:left="757" w:hangingChars="272" w:hanging="762"/>
        <w:rPr>
          <w:rFonts w:ascii="標楷體" w:eastAsia="標楷體" w:hAnsi="標楷體"/>
          <w:sz w:val="28"/>
          <w:szCs w:val="28"/>
        </w:rPr>
      </w:pPr>
      <w:r w:rsidRPr="0065164E">
        <w:rPr>
          <w:rFonts w:ascii="標楷體" w:eastAsia="標楷體" w:hAnsi="標楷體" w:hint="eastAsia"/>
          <w:sz w:val="28"/>
          <w:szCs w:val="28"/>
        </w:rPr>
        <w:lastRenderedPageBreak/>
        <w:t>註四</w:t>
      </w:r>
      <w:r w:rsidR="008E6524" w:rsidRPr="0065164E">
        <w:rPr>
          <w:rFonts w:ascii="標楷體" w:eastAsia="標楷體" w:hAnsi="標楷體" w:hint="eastAsia"/>
          <w:sz w:val="28"/>
          <w:szCs w:val="28"/>
        </w:rPr>
        <w:t>：</w:t>
      </w:r>
      <w:r w:rsidRPr="0065164E">
        <w:rPr>
          <w:rFonts w:ascii="標楷體" w:eastAsia="標楷體" w:hAnsi="標楷體" w:hint="eastAsia"/>
          <w:sz w:val="28"/>
          <w:szCs w:val="28"/>
        </w:rPr>
        <w:t>現金流量表投資活動之現金流量及融資活動之現金流量，須與平衡表涉及現金交易之相關科目勾稽，若考量附註中未涉及現金流量之重大投資、融資項目，則需與平衡表相關科目變動數勾稽</w:t>
      </w:r>
      <w:r w:rsidR="008E6524" w:rsidRPr="0065164E">
        <w:rPr>
          <w:rFonts w:ascii="標楷體" w:eastAsia="標楷體" w:hAnsi="標楷體" w:hint="eastAsia"/>
          <w:sz w:val="28"/>
          <w:szCs w:val="28"/>
        </w:rPr>
        <w:t>，且期初期末現金及約當現金餘額須分別與平衡表上年度及本年度現金及約當現金合計數相勾稽</w:t>
      </w:r>
      <w:r w:rsidRPr="0065164E">
        <w:rPr>
          <w:rFonts w:ascii="標楷體" w:eastAsia="標楷體" w:hAnsi="標楷體" w:hint="eastAsia"/>
          <w:sz w:val="28"/>
          <w:szCs w:val="28"/>
        </w:rPr>
        <w:t>。</w:t>
      </w:r>
    </w:p>
    <w:p w:rsidR="00BE00EA" w:rsidRPr="0065164E" w:rsidRDefault="00BE00EA" w:rsidP="00BE00EA">
      <w:pPr>
        <w:pStyle w:val="a3"/>
        <w:numPr>
          <w:ilvl w:val="0"/>
          <w:numId w:val="16"/>
        </w:numPr>
        <w:ind w:left="1200"/>
        <w:rPr>
          <w:rFonts w:ascii="標楷體" w:eastAsia="標楷體" w:hAnsi="標楷體"/>
          <w:sz w:val="28"/>
          <w:szCs w:val="28"/>
        </w:rPr>
      </w:pPr>
      <w:r w:rsidRPr="0065164E">
        <w:rPr>
          <w:rFonts w:ascii="標楷體" w:eastAsia="標楷體" w:hAnsi="標楷體" w:hint="eastAsia"/>
          <w:sz w:val="28"/>
          <w:szCs w:val="28"/>
        </w:rPr>
        <w:t>主要表須與</w:t>
      </w:r>
      <w:r w:rsidR="00A37963" w:rsidRPr="0065164E">
        <w:rPr>
          <w:rFonts w:ascii="標楷體" w:eastAsia="標楷體" w:hAnsi="標楷體" w:hint="eastAsia"/>
          <w:sz w:val="28"/>
          <w:szCs w:val="28"/>
        </w:rPr>
        <w:t>明細</w:t>
      </w:r>
      <w:r w:rsidRPr="0065164E">
        <w:rPr>
          <w:rFonts w:ascii="標楷體" w:eastAsia="標楷體" w:hAnsi="標楷體" w:hint="eastAsia"/>
          <w:sz w:val="28"/>
          <w:szCs w:val="28"/>
        </w:rPr>
        <w:t>表勾稽</w:t>
      </w:r>
      <w:r w:rsidR="00A37963" w:rsidRPr="0065164E">
        <w:rPr>
          <w:rFonts w:ascii="標楷體" w:eastAsia="標楷體" w:hAnsi="標楷體" w:hint="eastAsia"/>
          <w:sz w:val="28"/>
          <w:szCs w:val="28"/>
        </w:rPr>
        <w:t>要項</w:t>
      </w:r>
      <w:r w:rsidRPr="0065164E">
        <w:rPr>
          <w:rFonts w:ascii="標楷體" w:eastAsia="標楷體" w:hAnsi="標楷體" w:hint="eastAsia"/>
          <w:sz w:val="28"/>
          <w:szCs w:val="28"/>
        </w:rPr>
        <w:t>，如：</w:t>
      </w:r>
    </w:p>
    <w:p w:rsidR="00A37963" w:rsidRPr="0065164E" w:rsidRDefault="00BE00EA" w:rsidP="00A37963">
      <w:pPr>
        <w:pStyle w:val="a3"/>
        <w:numPr>
          <w:ilvl w:val="0"/>
          <w:numId w:val="20"/>
        </w:numPr>
        <w:ind w:leftChars="0" w:left="1701"/>
        <w:rPr>
          <w:rFonts w:ascii="標楷體" w:eastAsia="標楷體" w:hAnsi="標楷體"/>
          <w:sz w:val="28"/>
          <w:szCs w:val="28"/>
        </w:rPr>
      </w:pPr>
      <w:r w:rsidRPr="0065164E">
        <w:rPr>
          <w:rFonts w:ascii="標楷體" w:eastAsia="標楷體" w:hAnsi="標楷體" w:hint="eastAsia"/>
          <w:sz w:val="28"/>
          <w:szCs w:val="28"/>
        </w:rPr>
        <w:t>收支餘絀表所列</w:t>
      </w:r>
      <w:r w:rsidR="00A37963" w:rsidRPr="0065164E">
        <w:rPr>
          <w:rFonts w:ascii="標楷體" w:eastAsia="標楷體" w:hAnsi="標楷體" w:hint="eastAsia"/>
          <w:sz w:val="28"/>
          <w:szCs w:val="28"/>
        </w:rPr>
        <w:t>學雜費</w:t>
      </w:r>
      <w:r w:rsidR="00960FC7" w:rsidRPr="0065164E">
        <w:rPr>
          <w:rFonts w:ascii="標楷體" w:eastAsia="標楷體" w:hAnsi="標楷體"/>
          <w:sz w:val="28"/>
          <w:szCs w:val="28"/>
        </w:rPr>
        <w:t>收入</w:t>
      </w:r>
      <w:r w:rsidR="00A37963" w:rsidRPr="0065164E">
        <w:rPr>
          <w:rFonts w:ascii="標楷體" w:eastAsia="標楷體" w:hAnsi="標楷體" w:hint="eastAsia"/>
          <w:sz w:val="28"/>
          <w:szCs w:val="28"/>
        </w:rPr>
        <w:t>、推廣教育</w:t>
      </w:r>
      <w:r w:rsidR="00960FC7" w:rsidRPr="0065164E">
        <w:rPr>
          <w:rFonts w:ascii="標楷體" w:eastAsia="標楷體" w:hAnsi="標楷體"/>
          <w:sz w:val="28"/>
          <w:szCs w:val="28"/>
        </w:rPr>
        <w:t>收入</w:t>
      </w:r>
      <w:r w:rsidR="00A37963" w:rsidRPr="0065164E">
        <w:rPr>
          <w:rFonts w:ascii="標楷體" w:eastAsia="標楷體" w:hAnsi="標楷體" w:hint="eastAsia"/>
          <w:sz w:val="28"/>
          <w:szCs w:val="28"/>
        </w:rPr>
        <w:t>、其他收入</w:t>
      </w:r>
      <w:r w:rsidRPr="0065164E">
        <w:rPr>
          <w:rFonts w:ascii="標楷體" w:eastAsia="標楷體" w:hAnsi="標楷體" w:hint="eastAsia"/>
          <w:sz w:val="28"/>
          <w:szCs w:val="28"/>
        </w:rPr>
        <w:t>等</w:t>
      </w:r>
      <w:r w:rsidR="00A37963" w:rsidRPr="0065164E">
        <w:rPr>
          <w:rFonts w:ascii="標楷體" w:eastAsia="標楷體" w:hAnsi="標楷體" w:hint="eastAsia"/>
          <w:sz w:val="28"/>
          <w:szCs w:val="28"/>
        </w:rPr>
        <w:t>各項收入科目及董事會支出、行政管理支出、其他支出等各項支出科目，皆</w:t>
      </w:r>
      <w:r w:rsidRPr="0065164E">
        <w:rPr>
          <w:rFonts w:ascii="標楷體" w:eastAsia="標楷體" w:hAnsi="標楷體" w:hint="eastAsia"/>
          <w:sz w:val="28"/>
          <w:szCs w:val="28"/>
        </w:rPr>
        <w:t>須與</w:t>
      </w:r>
      <w:r w:rsidR="00A37963" w:rsidRPr="0065164E">
        <w:rPr>
          <w:rFonts w:ascii="標楷體" w:eastAsia="標楷體" w:hAnsi="標楷體" w:hint="eastAsia"/>
          <w:sz w:val="28"/>
          <w:szCs w:val="28"/>
        </w:rPr>
        <w:t>其</w:t>
      </w:r>
      <w:r w:rsidRPr="0065164E">
        <w:rPr>
          <w:rFonts w:ascii="標楷體" w:eastAsia="標楷體" w:hAnsi="標楷體" w:hint="eastAsia"/>
          <w:sz w:val="28"/>
          <w:szCs w:val="28"/>
        </w:rPr>
        <w:t>各該科目明細表所列金額勾稽。且須判斷收支歸屬年度及科目之歸類是否符合一般公認會計原則與科目性質。</w:t>
      </w:r>
    </w:p>
    <w:p w:rsidR="00A37963" w:rsidRPr="0065164E" w:rsidRDefault="00A37963" w:rsidP="00A37963">
      <w:pPr>
        <w:pStyle w:val="a3"/>
        <w:numPr>
          <w:ilvl w:val="0"/>
          <w:numId w:val="20"/>
        </w:numPr>
        <w:ind w:leftChars="0" w:left="1701"/>
        <w:rPr>
          <w:rFonts w:ascii="標楷體" w:eastAsia="標楷體" w:hAnsi="標楷體"/>
          <w:sz w:val="28"/>
          <w:szCs w:val="28"/>
        </w:rPr>
      </w:pPr>
      <w:r w:rsidRPr="0065164E">
        <w:rPr>
          <w:rFonts w:ascii="標楷體" w:eastAsia="標楷體" w:hAnsi="標楷體" w:hint="eastAsia"/>
          <w:sz w:val="28"/>
          <w:szCs w:val="28"/>
        </w:rPr>
        <w:t>平衡表各科目金額須與其明細科目金額勾稽，且須判斷所採用科目是否反應交易實況，及其歸類是否符合一般公認會計原則。</w:t>
      </w:r>
    </w:p>
    <w:p w:rsidR="00A37963" w:rsidRPr="0065164E" w:rsidRDefault="00BE00EA" w:rsidP="00A37963">
      <w:pPr>
        <w:pStyle w:val="a3"/>
        <w:numPr>
          <w:ilvl w:val="0"/>
          <w:numId w:val="20"/>
        </w:numPr>
        <w:ind w:leftChars="0" w:left="1701"/>
        <w:rPr>
          <w:rFonts w:ascii="標楷體" w:eastAsia="標楷體" w:hAnsi="標楷體"/>
          <w:sz w:val="28"/>
          <w:szCs w:val="28"/>
        </w:rPr>
      </w:pPr>
      <w:r w:rsidRPr="0065164E">
        <w:rPr>
          <w:rFonts w:ascii="標楷體" w:eastAsia="標楷體" w:hAnsi="標楷體" w:hint="eastAsia"/>
          <w:sz w:val="28"/>
          <w:szCs w:val="28"/>
        </w:rPr>
        <w:t>固定資產</w:t>
      </w:r>
      <w:r w:rsidR="00A37963" w:rsidRPr="0065164E">
        <w:rPr>
          <w:rFonts w:ascii="標楷體" w:eastAsia="標楷體" w:hAnsi="標楷體" w:hint="eastAsia"/>
          <w:sz w:val="28"/>
          <w:szCs w:val="28"/>
        </w:rPr>
        <w:t>及無形資產變動表所列土地、土地改良物、租賃權益改良物等</w:t>
      </w:r>
      <w:r w:rsidR="00772E1B" w:rsidRPr="0065164E">
        <w:rPr>
          <w:rFonts w:ascii="標楷體" w:eastAsia="標楷體" w:hAnsi="標楷體" w:hint="eastAsia"/>
          <w:sz w:val="28"/>
          <w:szCs w:val="28"/>
        </w:rPr>
        <w:t>固定資產科目與專利權、電腦軟體、</w:t>
      </w:r>
      <w:r w:rsidR="00A37963" w:rsidRPr="0065164E">
        <w:rPr>
          <w:rFonts w:ascii="標楷體" w:eastAsia="標楷體" w:hAnsi="標楷體" w:hint="eastAsia"/>
          <w:sz w:val="28"/>
          <w:szCs w:val="28"/>
        </w:rPr>
        <w:t>其他無形資產</w:t>
      </w:r>
      <w:r w:rsidR="00772E1B" w:rsidRPr="0065164E">
        <w:rPr>
          <w:rFonts w:ascii="標楷體" w:eastAsia="標楷體" w:hAnsi="標楷體" w:hint="eastAsia"/>
          <w:sz w:val="28"/>
          <w:szCs w:val="28"/>
        </w:rPr>
        <w:t>等無形資產</w:t>
      </w:r>
      <w:r w:rsidR="00A37963" w:rsidRPr="0065164E">
        <w:rPr>
          <w:rFonts w:ascii="標楷體" w:eastAsia="標楷體" w:hAnsi="標楷體" w:hint="eastAsia"/>
          <w:sz w:val="28"/>
          <w:szCs w:val="28"/>
        </w:rPr>
        <w:t>科目及</w:t>
      </w:r>
      <w:r w:rsidR="00772E1B" w:rsidRPr="0065164E">
        <w:rPr>
          <w:rFonts w:ascii="標楷體" w:eastAsia="標楷體" w:hAnsi="標楷體" w:hint="eastAsia"/>
          <w:sz w:val="28"/>
          <w:szCs w:val="28"/>
        </w:rPr>
        <w:t>其</w:t>
      </w:r>
      <w:r w:rsidR="00A37963" w:rsidRPr="0065164E">
        <w:rPr>
          <w:rFonts w:ascii="標楷體" w:eastAsia="標楷體" w:hAnsi="標楷體" w:hint="eastAsia"/>
          <w:sz w:val="28"/>
          <w:szCs w:val="28"/>
        </w:rPr>
        <w:t>相關累計折舊(攤銷)上年度(本年度)底止結存金額須與平衡表上年度(本年度)固定資產、無形資產相關科目及其累計折舊(攤銷)</w:t>
      </w:r>
      <w:r w:rsidR="00A37963" w:rsidRPr="0065164E">
        <w:rPr>
          <w:rFonts w:ascii="標楷體" w:eastAsia="標楷體" w:hAnsi="標楷體" w:hint="eastAsia"/>
          <w:sz w:val="28"/>
          <w:szCs w:val="28"/>
        </w:rPr>
        <w:lastRenderedPageBreak/>
        <w:t>相</w:t>
      </w:r>
      <w:r w:rsidRPr="0065164E">
        <w:rPr>
          <w:rFonts w:ascii="標楷體" w:eastAsia="標楷體" w:hAnsi="標楷體" w:hint="eastAsia"/>
          <w:sz w:val="28"/>
          <w:szCs w:val="28"/>
        </w:rPr>
        <w:t>勾稽。</w:t>
      </w:r>
    </w:p>
    <w:p w:rsidR="00C5651D" w:rsidRPr="0065164E" w:rsidRDefault="00164AA2" w:rsidP="00A37963">
      <w:pPr>
        <w:pStyle w:val="a3"/>
        <w:numPr>
          <w:ilvl w:val="0"/>
          <w:numId w:val="20"/>
        </w:numPr>
        <w:ind w:leftChars="0" w:left="1701"/>
        <w:rPr>
          <w:rFonts w:ascii="標楷體" w:eastAsia="標楷體" w:hAnsi="標楷體"/>
          <w:sz w:val="28"/>
          <w:szCs w:val="28"/>
        </w:rPr>
      </w:pPr>
      <w:r w:rsidRPr="0065164E">
        <w:rPr>
          <w:rFonts w:ascii="標楷體" w:eastAsia="標楷體" w:hAnsi="標楷體" w:hint="eastAsia"/>
          <w:sz w:val="28"/>
          <w:szCs w:val="28"/>
        </w:rPr>
        <w:t>借入款變動表所列期初金額(期末金額)須分別與平衡表上年度(本年度)負債項下短期債務、長期銀行借款或其他借款等借款科目金額相勾稽；另本年度借入金額(償還金額)亦須與現金流量表融資活動項下舉借(償還)長短期銀行借款收現數、舉借(償還)其他借款收現數相勾稽。</w:t>
      </w:r>
    </w:p>
    <w:p w:rsidR="00C611A6" w:rsidRPr="0065164E" w:rsidRDefault="00C611A6" w:rsidP="00A37963">
      <w:pPr>
        <w:pStyle w:val="a3"/>
        <w:numPr>
          <w:ilvl w:val="0"/>
          <w:numId w:val="20"/>
        </w:numPr>
        <w:ind w:leftChars="0" w:left="1701"/>
        <w:rPr>
          <w:rFonts w:ascii="標楷體" w:eastAsia="標楷體" w:hAnsi="標楷體"/>
          <w:sz w:val="28"/>
          <w:szCs w:val="28"/>
        </w:rPr>
      </w:pPr>
      <w:r w:rsidRPr="0065164E">
        <w:rPr>
          <w:rFonts w:ascii="標楷體" w:eastAsia="標楷體" w:hAnsi="標楷體" w:hint="eastAsia"/>
          <w:sz w:val="28"/>
          <w:szCs w:val="28"/>
        </w:rPr>
        <w:t>最近3年財務分析表計算公式所列學雜費收入、總收入、資產總額、負債總額、代管資產淨額、應付代管資產、流動資產、流動負債、營運活動淨現金流量、貨幣性資產、貨幣性負債、扣減不動產支出前現金餘絀須與主要表相關科(項)目數據一致。</w:t>
      </w:r>
    </w:p>
    <w:p w:rsidR="0003342B" w:rsidRPr="0065164E" w:rsidRDefault="00C3415D" w:rsidP="00A37963">
      <w:pPr>
        <w:pStyle w:val="a3"/>
        <w:numPr>
          <w:ilvl w:val="0"/>
          <w:numId w:val="16"/>
        </w:numPr>
        <w:ind w:left="1200"/>
        <w:rPr>
          <w:rFonts w:ascii="標楷體" w:eastAsia="標楷體" w:hAnsi="標楷體"/>
          <w:sz w:val="28"/>
          <w:szCs w:val="28"/>
        </w:rPr>
      </w:pPr>
      <w:r w:rsidRPr="0065164E">
        <w:rPr>
          <w:rFonts w:ascii="標楷體" w:eastAsia="標楷體" w:hAnsi="標楷體" w:hint="eastAsia"/>
          <w:sz w:val="28"/>
          <w:szCs w:val="28"/>
        </w:rPr>
        <w:t>明細表與明細表勾稽要項，如經核算固定資產及無形資產變動表所列本年度提列折舊及攤銷與支出明細表各功能別科目所列折舊及攤銷數須勾稽。</w:t>
      </w:r>
    </w:p>
    <w:p w:rsidR="008A7BB3" w:rsidRPr="0065164E" w:rsidRDefault="008A7BB3" w:rsidP="008A7BB3">
      <w:pPr>
        <w:pStyle w:val="a3"/>
        <w:numPr>
          <w:ilvl w:val="0"/>
          <w:numId w:val="15"/>
        </w:numPr>
        <w:ind w:leftChars="0" w:left="993"/>
        <w:rPr>
          <w:rFonts w:ascii="標楷體" w:eastAsia="標楷體" w:hAnsi="標楷體"/>
          <w:sz w:val="28"/>
          <w:szCs w:val="28"/>
        </w:rPr>
      </w:pPr>
      <w:r w:rsidRPr="0065164E">
        <w:rPr>
          <w:rFonts w:ascii="標楷體" w:eastAsia="標楷體" w:hAnsi="標楷體" w:hint="eastAsia"/>
          <w:sz w:val="28"/>
          <w:szCs w:val="28"/>
        </w:rPr>
        <w:t>帳務處理部分</w:t>
      </w:r>
    </w:p>
    <w:p w:rsidR="00092F16" w:rsidRPr="0065164E" w:rsidRDefault="00092F16" w:rsidP="00092F16">
      <w:pPr>
        <w:pStyle w:val="a3"/>
        <w:ind w:leftChars="0" w:left="993"/>
        <w:rPr>
          <w:rFonts w:ascii="標楷體" w:eastAsia="標楷體" w:hAnsi="標楷體"/>
          <w:sz w:val="28"/>
          <w:szCs w:val="28"/>
        </w:rPr>
      </w:pPr>
      <w:r w:rsidRPr="0065164E">
        <w:rPr>
          <w:rFonts w:ascii="標楷體" w:eastAsia="標楷體" w:hAnsi="標楷體" w:hint="eastAsia"/>
          <w:sz w:val="28"/>
          <w:szCs w:val="28"/>
        </w:rPr>
        <w:t>本著「他山之石</w:t>
      </w:r>
      <w:r w:rsidR="00772E1B" w:rsidRPr="0065164E">
        <w:rPr>
          <w:rFonts w:ascii="標楷體" w:eastAsia="標楷體" w:hAnsi="標楷體" w:hint="eastAsia"/>
          <w:sz w:val="28"/>
          <w:szCs w:val="28"/>
        </w:rPr>
        <w:t>，可以為</w:t>
      </w:r>
      <w:r w:rsidRPr="0065164E">
        <w:rPr>
          <w:rFonts w:ascii="標楷體" w:eastAsia="標楷體" w:hAnsi="標楷體" w:hint="eastAsia"/>
          <w:sz w:val="28"/>
          <w:szCs w:val="28"/>
        </w:rPr>
        <w:t>錯</w:t>
      </w:r>
      <w:r w:rsidR="00772E1B" w:rsidRPr="0065164E">
        <w:rPr>
          <w:rFonts w:ascii="標楷體" w:eastAsia="標楷體" w:hAnsi="標楷體" w:hint="eastAsia"/>
          <w:sz w:val="28"/>
          <w:szCs w:val="28"/>
        </w:rPr>
        <w:t>」</w:t>
      </w:r>
      <w:r w:rsidRPr="0065164E">
        <w:rPr>
          <w:rFonts w:ascii="標楷體" w:eastAsia="標楷體" w:hAnsi="標楷體" w:hint="eastAsia"/>
          <w:sz w:val="28"/>
          <w:szCs w:val="28"/>
        </w:rPr>
        <w:t>之</w:t>
      </w:r>
      <w:r w:rsidR="00425B88" w:rsidRPr="0065164E">
        <w:rPr>
          <w:rFonts w:ascii="標楷體" w:eastAsia="標楷體" w:hAnsi="標楷體" w:hint="eastAsia"/>
          <w:sz w:val="28"/>
          <w:szCs w:val="28"/>
        </w:rPr>
        <w:t>精神</w:t>
      </w:r>
      <w:r w:rsidRPr="0065164E">
        <w:rPr>
          <w:rFonts w:ascii="標楷體" w:eastAsia="標楷體" w:hAnsi="標楷體" w:hint="eastAsia"/>
          <w:sz w:val="28"/>
          <w:szCs w:val="28"/>
        </w:rPr>
        <w:t>，參酌</w:t>
      </w:r>
      <w:r w:rsidR="0012149F" w:rsidRPr="0065164E">
        <w:rPr>
          <w:rFonts w:ascii="標楷體" w:eastAsia="標楷體" w:hAnsi="標楷體" w:hint="eastAsia"/>
          <w:sz w:val="28"/>
          <w:szCs w:val="28"/>
        </w:rPr>
        <w:t>審計部八十七年台審部叁字第870275號函示，中央政府非營業特種基金辦理決算尚須精進之處，列舉與法人及其私校較具相關者如次：</w:t>
      </w:r>
    </w:p>
    <w:p w:rsidR="004C5A10" w:rsidRPr="0065164E" w:rsidRDefault="004C5A10" w:rsidP="004C5A10">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lastRenderedPageBreak/>
        <w:t>未於學年度終了辦理調整事項，如：</w:t>
      </w:r>
    </w:p>
    <w:p w:rsidR="004C5A10" w:rsidRPr="0065164E" w:rsidRDefault="004C5A10" w:rsidP="004C5A10">
      <w:pPr>
        <w:pStyle w:val="a3"/>
        <w:numPr>
          <w:ilvl w:val="0"/>
          <w:numId w:val="23"/>
        </w:numPr>
        <w:ind w:leftChars="0"/>
        <w:rPr>
          <w:rFonts w:ascii="標楷體" w:eastAsia="標楷體" w:hAnsi="標楷體"/>
          <w:sz w:val="28"/>
          <w:szCs w:val="28"/>
        </w:rPr>
      </w:pPr>
      <w:r w:rsidRPr="0065164E">
        <w:rPr>
          <w:rFonts w:ascii="標楷體" w:eastAsia="標楷體" w:hAnsi="標楷體" w:hint="eastAsia"/>
          <w:sz w:val="28"/>
          <w:szCs w:val="28"/>
        </w:rPr>
        <w:t>期末工程結算差額、應收款項未及調整列帳。</w:t>
      </w:r>
    </w:p>
    <w:p w:rsidR="004C5A10" w:rsidRPr="0065164E" w:rsidRDefault="004C5A10" w:rsidP="004C5A10">
      <w:pPr>
        <w:pStyle w:val="a3"/>
        <w:numPr>
          <w:ilvl w:val="0"/>
          <w:numId w:val="23"/>
        </w:numPr>
        <w:ind w:leftChars="0"/>
        <w:rPr>
          <w:rFonts w:ascii="標楷體" w:eastAsia="標楷體" w:hAnsi="標楷體"/>
          <w:sz w:val="28"/>
          <w:szCs w:val="28"/>
        </w:rPr>
      </w:pPr>
      <w:r w:rsidRPr="0065164E">
        <w:rPr>
          <w:rFonts w:ascii="標楷體" w:eastAsia="標楷體" w:hAnsi="標楷體" w:hint="eastAsia"/>
          <w:sz w:val="28"/>
          <w:szCs w:val="28"/>
        </w:rPr>
        <w:t>期末用品盤存未及整理列帳。</w:t>
      </w:r>
    </w:p>
    <w:p w:rsidR="004C5A10" w:rsidRPr="0065164E" w:rsidRDefault="004C5A10" w:rsidP="004C5A10">
      <w:pPr>
        <w:pStyle w:val="a3"/>
        <w:numPr>
          <w:ilvl w:val="0"/>
          <w:numId w:val="23"/>
        </w:numPr>
        <w:ind w:leftChars="0"/>
        <w:rPr>
          <w:rFonts w:ascii="標楷體" w:eastAsia="標楷體" w:hAnsi="標楷體"/>
          <w:sz w:val="28"/>
          <w:szCs w:val="28"/>
        </w:rPr>
      </w:pPr>
      <w:r w:rsidRPr="0065164E">
        <w:rPr>
          <w:rFonts w:ascii="標楷體" w:eastAsia="標楷體" w:hAnsi="標楷體" w:hint="eastAsia"/>
          <w:sz w:val="28"/>
          <w:szCs w:val="28"/>
        </w:rPr>
        <w:t>年度終了尚未清償之</w:t>
      </w:r>
      <w:r w:rsidR="00772E1B" w:rsidRPr="0065164E">
        <w:rPr>
          <w:rFonts w:ascii="標楷體" w:eastAsia="標楷體" w:hAnsi="標楷體" w:hint="eastAsia"/>
          <w:sz w:val="28"/>
          <w:szCs w:val="28"/>
        </w:rPr>
        <w:t>外幣</w:t>
      </w:r>
      <w:r w:rsidRPr="0065164E">
        <w:rPr>
          <w:rFonts w:ascii="標楷體" w:eastAsia="標楷體" w:hAnsi="標楷體" w:hint="eastAsia"/>
          <w:sz w:val="28"/>
          <w:szCs w:val="28"/>
        </w:rPr>
        <w:t>借款餘額，未按決算日匯率評價。</w:t>
      </w:r>
    </w:p>
    <w:p w:rsidR="004C5A10" w:rsidRPr="0065164E" w:rsidRDefault="004C5A10" w:rsidP="004C5A10">
      <w:pPr>
        <w:pStyle w:val="a3"/>
        <w:numPr>
          <w:ilvl w:val="0"/>
          <w:numId w:val="23"/>
        </w:numPr>
        <w:ind w:leftChars="0"/>
        <w:rPr>
          <w:rFonts w:ascii="標楷體" w:eastAsia="標楷體" w:hAnsi="標楷體"/>
          <w:sz w:val="28"/>
          <w:szCs w:val="28"/>
        </w:rPr>
      </w:pPr>
      <w:r w:rsidRPr="0065164E">
        <w:rPr>
          <w:rFonts w:ascii="標楷體" w:eastAsia="標楷體" w:hAnsi="標楷體" w:hint="eastAsia"/>
          <w:sz w:val="28"/>
          <w:szCs w:val="28"/>
        </w:rPr>
        <w:t>期末未予列計應付款項。</w:t>
      </w:r>
    </w:p>
    <w:p w:rsidR="004C5A10" w:rsidRPr="0065164E" w:rsidRDefault="004C5A10" w:rsidP="004C5A10">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未依規定以資產科目列帳者，如：</w:t>
      </w:r>
    </w:p>
    <w:p w:rsidR="004C5A10" w:rsidRPr="0065164E" w:rsidRDefault="004C5A10" w:rsidP="004C5A10">
      <w:pPr>
        <w:pStyle w:val="a3"/>
        <w:numPr>
          <w:ilvl w:val="0"/>
          <w:numId w:val="24"/>
        </w:numPr>
        <w:ind w:leftChars="0"/>
        <w:rPr>
          <w:rFonts w:ascii="標楷體" w:eastAsia="標楷體" w:hAnsi="標楷體"/>
          <w:sz w:val="28"/>
          <w:szCs w:val="28"/>
        </w:rPr>
      </w:pPr>
      <w:r w:rsidRPr="0065164E">
        <w:rPr>
          <w:rFonts w:ascii="標楷體" w:eastAsia="標楷體" w:hAnsi="標楷體" w:hint="eastAsia"/>
          <w:sz w:val="28"/>
          <w:szCs w:val="28"/>
        </w:rPr>
        <w:t>應資本化之工程設計費及設備。</w:t>
      </w:r>
    </w:p>
    <w:p w:rsidR="004C5A10" w:rsidRPr="0065164E" w:rsidRDefault="004C5A10" w:rsidP="004C5A10">
      <w:pPr>
        <w:pStyle w:val="a3"/>
        <w:numPr>
          <w:ilvl w:val="0"/>
          <w:numId w:val="24"/>
        </w:numPr>
        <w:ind w:leftChars="0"/>
        <w:rPr>
          <w:rFonts w:ascii="標楷體" w:eastAsia="標楷體" w:hAnsi="標楷體"/>
          <w:sz w:val="28"/>
          <w:szCs w:val="28"/>
        </w:rPr>
      </w:pPr>
      <w:r w:rsidRPr="0065164E">
        <w:rPr>
          <w:rFonts w:ascii="標楷體" w:eastAsia="標楷體" w:hAnsi="標楷體" w:hint="eastAsia"/>
          <w:sz w:val="28"/>
          <w:szCs w:val="28"/>
        </w:rPr>
        <w:t>購置電腦軟體符合資本化條件者，未以無形資產列帳。</w:t>
      </w:r>
    </w:p>
    <w:p w:rsidR="004C5A10" w:rsidRPr="0065164E" w:rsidRDefault="004C5A10" w:rsidP="004C5A10">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相關科目未依權責發生制轉列收入，或收入未及列入決算者，如：</w:t>
      </w:r>
    </w:p>
    <w:p w:rsidR="004C5A10" w:rsidRPr="0065164E" w:rsidRDefault="004C5A10" w:rsidP="004C5A10">
      <w:pPr>
        <w:pStyle w:val="a3"/>
        <w:numPr>
          <w:ilvl w:val="1"/>
          <w:numId w:val="25"/>
        </w:numPr>
        <w:ind w:leftChars="0" w:left="1560" w:hanging="284"/>
        <w:rPr>
          <w:rFonts w:ascii="標楷體" w:eastAsia="標楷體" w:hAnsi="標楷體"/>
          <w:sz w:val="28"/>
          <w:szCs w:val="28"/>
        </w:rPr>
      </w:pPr>
      <w:r w:rsidRPr="0065164E">
        <w:rPr>
          <w:rFonts w:ascii="標楷體" w:eastAsia="標楷體" w:hAnsi="標楷體" w:hint="eastAsia"/>
          <w:sz w:val="28"/>
          <w:szCs w:val="28"/>
        </w:rPr>
        <w:t>代收款項、預收款項等未及轉列收入。</w:t>
      </w:r>
    </w:p>
    <w:p w:rsidR="004C5A10" w:rsidRPr="0065164E" w:rsidRDefault="004C5A10" w:rsidP="004C5A10">
      <w:pPr>
        <w:pStyle w:val="a3"/>
        <w:numPr>
          <w:ilvl w:val="1"/>
          <w:numId w:val="25"/>
        </w:numPr>
        <w:ind w:leftChars="0" w:left="1560" w:hanging="284"/>
        <w:rPr>
          <w:rFonts w:ascii="標楷體" w:eastAsia="標楷體" w:hAnsi="標楷體"/>
          <w:sz w:val="28"/>
          <w:szCs w:val="28"/>
        </w:rPr>
      </w:pPr>
      <w:r w:rsidRPr="0065164E">
        <w:rPr>
          <w:rFonts w:ascii="標楷體" w:eastAsia="標楷體" w:hAnsi="標楷體" w:hint="eastAsia"/>
          <w:sz w:val="28"/>
          <w:szCs w:val="28"/>
        </w:rPr>
        <w:t>已逾法定請求權時效之應付款項未予轉正。</w:t>
      </w:r>
    </w:p>
    <w:p w:rsidR="004C5A10" w:rsidRPr="0065164E" w:rsidRDefault="004C5A10" w:rsidP="004C5A10">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短收、短列、漏列、漏收收入及成本、費用計算錯誤者，如：</w:t>
      </w:r>
    </w:p>
    <w:p w:rsidR="004C5A10" w:rsidRPr="0065164E" w:rsidRDefault="004C5A10" w:rsidP="004C5A10">
      <w:pPr>
        <w:pStyle w:val="a3"/>
        <w:numPr>
          <w:ilvl w:val="1"/>
          <w:numId w:val="27"/>
        </w:numPr>
        <w:ind w:leftChars="0" w:left="1560" w:hanging="284"/>
        <w:rPr>
          <w:rFonts w:ascii="標楷體" w:eastAsia="標楷體" w:hAnsi="標楷體"/>
          <w:sz w:val="28"/>
          <w:szCs w:val="28"/>
        </w:rPr>
      </w:pPr>
      <w:r w:rsidRPr="0065164E">
        <w:rPr>
          <w:rFonts w:ascii="標楷體" w:eastAsia="標楷體" w:hAnsi="標楷體" w:hint="eastAsia"/>
          <w:sz w:val="28"/>
          <w:szCs w:val="28"/>
        </w:rPr>
        <w:t>短收、短計、短列、漏收違約金、利息及各項收入。</w:t>
      </w:r>
    </w:p>
    <w:p w:rsidR="0012149F" w:rsidRPr="0065164E" w:rsidRDefault="004C5A10" w:rsidP="004C5A10">
      <w:pPr>
        <w:pStyle w:val="a3"/>
        <w:numPr>
          <w:ilvl w:val="1"/>
          <w:numId w:val="27"/>
        </w:numPr>
        <w:ind w:leftChars="0" w:left="1560" w:hanging="284"/>
        <w:rPr>
          <w:rFonts w:ascii="標楷體" w:eastAsia="標楷體" w:hAnsi="標楷體"/>
          <w:sz w:val="28"/>
          <w:szCs w:val="28"/>
        </w:rPr>
      </w:pPr>
      <w:r w:rsidRPr="0065164E">
        <w:rPr>
          <w:rFonts w:ascii="標楷體" w:eastAsia="標楷體" w:hAnsi="標楷體" w:hint="eastAsia"/>
          <w:sz w:val="28"/>
          <w:szCs w:val="28"/>
        </w:rPr>
        <w:t>成本、費用計算錯誤，或溢計、短計。</w:t>
      </w:r>
    </w:p>
    <w:p w:rsidR="00F55E9C" w:rsidRPr="0065164E" w:rsidRDefault="00F55E9C" w:rsidP="00F55E9C">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費用列支超過規定標準，如：</w:t>
      </w:r>
    </w:p>
    <w:p w:rsidR="00F55E9C" w:rsidRPr="0065164E" w:rsidRDefault="00F55E9C" w:rsidP="00757641">
      <w:pPr>
        <w:pStyle w:val="a3"/>
        <w:numPr>
          <w:ilvl w:val="1"/>
          <w:numId w:val="22"/>
        </w:numPr>
        <w:ind w:leftChars="0" w:left="1560" w:hanging="284"/>
        <w:rPr>
          <w:rFonts w:ascii="標楷體" w:eastAsia="標楷體" w:hAnsi="標楷體"/>
          <w:sz w:val="28"/>
          <w:szCs w:val="28"/>
        </w:rPr>
      </w:pPr>
      <w:r w:rsidRPr="0065164E">
        <w:rPr>
          <w:rFonts w:ascii="標楷體" w:eastAsia="標楷體" w:hAnsi="標楷體" w:hint="eastAsia"/>
          <w:sz w:val="28"/>
          <w:szCs w:val="28"/>
        </w:rPr>
        <w:t>發放無法令依據之獎金、津貼及兼職車馬費。</w:t>
      </w:r>
    </w:p>
    <w:p w:rsidR="00F55E9C" w:rsidRPr="0065164E" w:rsidRDefault="00F55E9C" w:rsidP="00757641">
      <w:pPr>
        <w:pStyle w:val="a3"/>
        <w:numPr>
          <w:ilvl w:val="1"/>
          <w:numId w:val="22"/>
        </w:numPr>
        <w:ind w:leftChars="0" w:left="1560" w:hanging="284"/>
        <w:rPr>
          <w:rFonts w:ascii="標楷體" w:eastAsia="標楷體" w:hAnsi="標楷體"/>
          <w:sz w:val="28"/>
          <w:szCs w:val="28"/>
        </w:rPr>
      </w:pPr>
      <w:r w:rsidRPr="0065164E">
        <w:rPr>
          <w:rFonts w:ascii="標楷體" w:eastAsia="標楷體" w:hAnsi="標楷體" w:hint="eastAsia"/>
          <w:sz w:val="28"/>
          <w:szCs w:val="28"/>
        </w:rPr>
        <w:lastRenderedPageBreak/>
        <w:t>溢付、重複列支費用。</w:t>
      </w:r>
    </w:p>
    <w:p w:rsidR="00F55E9C" w:rsidRPr="0065164E" w:rsidRDefault="00F55E9C" w:rsidP="00757641">
      <w:pPr>
        <w:pStyle w:val="a3"/>
        <w:numPr>
          <w:ilvl w:val="1"/>
          <w:numId w:val="22"/>
        </w:numPr>
        <w:ind w:leftChars="0" w:left="1560" w:hanging="284"/>
        <w:rPr>
          <w:rFonts w:ascii="標楷體" w:eastAsia="標楷體" w:hAnsi="標楷體"/>
          <w:sz w:val="28"/>
          <w:szCs w:val="28"/>
        </w:rPr>
      </w:pPr>
      <w:r w:rsidRPr="0065164E">
        <w:rPr>
          <w:rFonts w:ascii="標楷體" w:eastAsia="標楷體" w:hAnsi="標楷體" w:hint="eastAsia"/>
          <w:sz w:val="28"/>
          <w:szCs w:val="28"/>
        </w:rPr>
        <w:t>未合規定之支出、未編列預算之捐助款。</w:t>
      </w:r>
    </w:p>
    <w:p w:rsidR="00F55E9C" w:rsidRPr="0065164E" w:rsidRDefault="00F55E9C" w:rsidP="00F55E9C">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支出與預算年度、用途或合約規定不合者，如：</w:t>
      </w:r>
    </w:p>
    <w:p w:rsidR="00F55E9C" w:rsidRPr="0065164E" w:rsidRDefault="00F55E9C" w:rsidP="00757641">
      <w:pPr>
        <w:pStyle w:val="a3"/>
        <w:numPr>
          <w:ilvl w:val="0"/>
          <w:numId w:val="28"/>
        </w:numPr>
        <w:ind w:leftChars="0" w:left="1560" w:hanging="284"/>
        <w:rPr>
          <w:rFonts w:ascii="標楷體" w:eastAsia="標楷體" w:hAnsi="標楷體"/>
          <w:sz w:val="28"/>
          <w:szCs w:val="28"/>
        </w:rPr>
      </w:pPr>
      <w:r w:rsidRPr="0065164E">
        <w:rPr>
          <w:rFonts w:ascii="標楷體" w:eastAsia="標楷體" w:hAnsi="標楷體" w:hint="eastAsia"/>
          <w:sz w:val="28"/>
          <w:szCs w:val="28"/>
        </w:rPr>
        <w:t>列支應屬以後年度費用。</w:t>
      </w:r>
    </w:p>
    <w:p w:rsidR="00F55E9C" w:rsidRPr="0065164E" w:rsidRDefault="00F55E9C" w:rsidP="00757641">
      <w:pPr>
        <w:pStyle w:val="a3"/>
        <w:numPr>
          <w:ilvl w:val="0"/>
          <w:numId w:val="28"/>
        </w:numPr>
        <w:ind w:leftChars="0" w:left="1560" w:hanging="284"/>
        <w:rPr>
          <w:rFonts w:ascii="標楷體" w:eastAsia="標楷體" w:hAnsi="標楷體"/>
          <w:sz w:val="28"/>
          <w:szCs w:val="28"/>
        </w:rPr>
      </w:pPr>
      <w:r w:rsidRPr="0065164E">
        <w:rPr>
          <w:rFonts w:ascii="標楷體" w:eastAsia="標楷體" w:hAnsi="標楷體" w:hint="eastAsia"/>
          <w:sz w:val="28"/>
          <w:szCs w:val="28"/>
        </w:rPr>
        <w:t>列支非屬合約規定之支出。</w:t>
      </w:r>
    </w:p>
    <w:p w:rsidR="00F55E9C" w:rsidRPr="0065164E" w:rsidRDefault="00F55E9C" w:rsidP="00757641">
      <w:pPr>
        <w:pStyle w:val="a3"/>
        <w:numPr>
          <w:ilvl w:val="0"/>
          <w:numId w:val="28"/>
        </w:numPr>
        <w:ind w:leftChars="0" w:left="1560" w:hanging="284"/>
        <w:rPr>
          <w:rFonts w:ascii="標楷體" w:eastAsia="標楷體" w:hAnsi="標楷體"/>
          <w:sz w:val="28"/>
          <w:szCs w:val="28"/>
        </w:rPr>
      </w:pPr>
      <w:r w:rsidRPr="0065164E">
        <w:rPr>
          <w:rFonts w:ascii="標楷體" w:eastAsia="標楷體" w:hAnsi="標楷體" w:hint="eastAsia"/>
          <w:sz w:val="28"/>
          <w:szCs w:val="28"/>
        </w:rPr>
        <w:t>列支尚未完成驗收手續或尚未定案之費用。</w:t>
      </w:r>
    </w:p>
    <w:p w:rsidR="00F55E9C" w:rsidRPr="0065164E" w:rsidRDefault="00F55E9C" w:rsidP="00F55E9C">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帳務處理錯誤者，如：</w:t>
      </w:r>
    </w:p>
    <w:p w:rsidR="00F55E9C" w:rsidRPr="0065164E" w:rsidRDefault="00F55E9C" w:rsidP="00757641">
      <w:pPr>
        <w:pStyle w:val="a3"/>
        <w:numPr>
          <w:ilvl w:val="0"/>
          <w:numId w:val="29"/>
        </w:numPr>
        <w:ind w:leftChars="0" w:left="1560" w:hanging="284"/>
        <w:rPr>
          <w:rFonts w:ascii="標楷體" w:eastAsia="標楷體" w:hAnsi="標楷體"/>
          <w:sz w:val="28"/>
          <w:szCs w:val="28"/>
        </w:rPr>
      </w:pPr>
      <w:r w:rsidRPr="0065164E">
        <w:rPr>
          <w:rFonts w:ascii="標楷體" w:eastAsia="標楷體" w:hAnsi="標楷體" w:hint="eastAsia"/>
          <w:sz w:val="28"/>
          <w:szCs w:val="28"/>
        </w:rPr>
        <w:t>列帳科目與規定未合。</w:t>
      </w:r>
    </w:p>
    <w:p w:rsidR="00F55E9C" w:rsidRPr="0065164E" w:rsidRDefault="00F55E9C" w:rsidP="00757641">
      <w:pPr>
        <w:pStyle w:val="a3"/>
        <w:numPr>
          <w:ilvl w:val="0"/>
          <w:numId w:val="29"/>
        </w:numPr>
        <w:ind w:leftChars="0" w:left="1560" w:hanging="284"/>
        <w:rPr>
          <w:rFonts w:ascii="標楷體" w:eastAsia="標楷體" w:hAnsi="標楷體"/>
          <w:sz w:val="28"/>
          <w:szCs w:val="28"/>
        </w:rPr>
      </w:pPr>
      <w:r w:rsidRPr="0065164E">
        <w:rPr>
          <w:rFonts w:ascii="標楷體" w:eastAsia="標楷體" w:hAnsi="標楷體" w:hint="eastAsia"/>
          <w:sz w:val="28"/>
          <w:szCs w:val="28"/>
        </w:rPr>
        <w:t>內部往來未予沖銷。</w:t>
      </w:r>
    </w:p>
    <w:p w:rsidR="00F55E9C" w:rsidRPr="0065164E" w:rsidRDefault="00F55E9C" w:rsidP="00757641">
      <w:pPr>
        <w:pStyle w:val="a3"/>
        <w:numPr>
          <w:ilvl w:val="0"/>
          <w:numId w:val="29"/>
        </w:numPr>
        <w:ind w:leftChars="0" w:left="1560" w:hanging="284"/>
        <w:rPr>
          <w:rFonts w:ascii="標楷體" w:eastAsia="標楷體" w:hAnsi="標楷體"/>
          <w:sz w:val="28"/>
          <w:szCs w:val="28"/>
        </w:rPr>
      </w:pPr>
      <w:r w:rsidRPr="0065164E">
        <w:rPr>
          <w:rFonts w:ascii="標楷體" w:eastAsia="標楷體" w:hAnsi="標楷體" w:hint="eastAsia"/>
          <w:sz w:val="28"/>
          <w:szCs w:val="28"/>
        </w:rPr>
        <w:t>收入逕與成本相抵，未以總額法處理帳務。</w:t>
      </w:r>
    </w:p>
    <w:p w:rsidR="00F55E9C" w:rsidRPr="0065164E" w:rsidRDefault="00F55E9C" w:rsidP="00530ABA">
      <w:pPr>
        <w:pStyle w:val="a3"/>
        <w:numPr>
          <w:ilvl w:val="0"/>
          <w:numId w:val="22"/>
        </w:numPr>
        <w:ind w:leftChars="0"/>
        <w:rPr>
          <w:rFonts w:ascii="標楷體" w:eastAsia="標楷體" w:hAnsi="標楷體"/>
          <w:sz w:val="28"/>
          <w:szCs w:val="28"/>
        </w:rPr>
      </w:pPr>
      <w:r w:rsidRPr="0065164E">
        <w:rPr>
          <w:rFonts w:ascii="標楷體" w:eastAsia="標楷體" w:hAnsi="標楷體" w:hint="eastAsia"/>
          <w:sz w:val="28"/>
          <w:szCs w:val="28"/>
        </w:rPr>
        <w:t>其他事項，如：支出未檢附原始憑證。</w:t>
      </w:r>
    </w:p>
    <w:p w:rsidR="00C70FC2" w:rsidRPr="0065164E" w:rsidRDefault="00C70FC2" w:rsidP="00C70FC2">
      <w:pPr>
        <w:pStyle w:val="a3"/>
        <w:numPr>
          <w:ilvl w:val="0"/>
          <w:numId w:val="1"/>
        </w:numPr>
        <w:ind w:leftChars="0"/>
        <w:rPr>
          <w:rFonts w:ascii="標楷體" w:eastAsia="標楷體" w:hAnsi="標楷體"/>
          <w:sz w:val="28"/>
          <w:szCs w:val="28"/>
        </w:rPr>
      </w:pPr>
      <w:r w:rsidRPr="0065164E">
        <w:rPr>
          <w:rFonts w:ascii="標楷體" w:eastAsia="標楷體" w:hAnsi="標楷體" w:hint="eastAsia"/>
          <w:sz w:val="28"/>
          <w:szCs w:val="28"/>
        </w:rPr>
        <w:t>結語</w:t>
      </w:r>
    </w:p>
    <w:p w:rsidR="00C70FC2" w:rsidRPr="0065164E" w:rsidRDefault="00C70FC2" w:rsidP="00C70FC2">
      <w:pPr>
        <w:ind w:left="720" w:firstLineChars="200" w:firstLine="560"/>
        <w:rPr>
          <w:rFonts w:ascii="標楷體" w:eastAsia="標楷體" w:hAnsi="標楷體"/>
          <w:sz w:val="28"/>
          <w:szCs w:val="28"/>
        </w:rPr>
      </w:pPr>
      <w:r w:rsidRPr="0065164E">
        <w:rPr>
          <w:rFonts w:ascii="標楷體" w:eastAsia="標楷體" w:hAnsi="標楷體" w:hint="eastAsia"/>
          <w:sz w:val="28"/>
          <w:szCs w:val="28"/>
        </w:rPr>
        <w:t>無論公私立大專校院辦理年度決算或彙編年度決算，向為主計(會計)同仁一年一度重要業務之一，鑑於衡量法人及其私校決算工作品質指標</w:t>
      </w:r>
      <w:r w:rsidR="00772E1B" w:rsidRPr="0065164E">
        <w:rPr>
          <w:rFonts w:ascii="標楷體" w:eastAsia="標楷體" w:hAnsi="標楷體" w:hint="eastAsia"/>
          <w:sz w:val="28"/>
          <w:szCs w:val="28"/>
        </w:rPr>
        <w:t>，</w:t>
      </w:r>
      <w:r w:rsidRPr="0065164E">
        <w:rPr>
          <w:rFonts w:ascii="標楷體" w:eastAsia="標楷體" w:hAnsi="標楷體" w:hint="eastAsia"/>
          <w:sz w:val="28"/>
          <w:szCs w:val="28"/>
        </w:rPr>
        <w:t>包括</w:t>
      </w:r>
      <w:r w:rsidR="00EF3E3A" w:rsidRPr="0065164E">
        <w:rPr>
          <w:rFonts w:ascii="標楷體" w:eastAsia="標楷體" w:hAnsi="標楷體" w:hint="eastAsia"/>
          <w:sz w:val="28"/>
          <w:szCs w:val="28"/>
        </w:rPr>
        <w:t>：</w:t>
      </w:r>
      <w:r w:rsidRPr="0065164E">
        <w:rPr>
          <w:rFonts w:ascii="標楷體" w:eastAsia="標楷體" w:hAnsi="標楷體" w:hint="eastAsia"/>
          <w:sz w:val="28"/>
          <w:szCs w:val="28"/>
        </w:rPr>
        <w:t>會計事務處理是否符</w:t>
      </w:r>
      <w:r w:rsidR="00772E1B" w:rsidRPr="0065164E">
        <w:rPr>
          <w:rFonts w:ascii="標楷體" w:eastAsia="標楷體" w:hAnsi="標楷體" w:hint="eastAsia"/>
          <w:sz w:val="28"/>
          <w:szCs w:val="28"/>
        </w:rPr>
        <w:t>合</w:t>
      </w:r>
      <w:r w:rsidRPr="0065164E">
        <w:rPr>
          <w:rFonts w:ascii="標楷體" w:eastAsia="標楷體" w:hAnsi="標楷體" w:hint="eastAsia"/>
          <w:sz w:val="28"/>
          <w:szCs w:val="28"/>
        </w:rPr>
        <w:t>會計制度之一致規定</w:t>
      </w:r>
      <w:r w:rsidR="004E4277" w:rsidRPr="0065164E">
        <w:rPr>
          <w:rFonts w:ascii="新細明體" w:eastAsia="新細明體" w:hAnsi="新細明體" w:hint="eastAsia"/>
          <w:sz w:val="28"/>
          <w:szCs w:val="28"/>
        </w:rPr>
        <w:t>，</w:t>
      </w:r>
      <w:r w:rsidRPr="0065164E">
        <w:rPr>
          <w:rFonts w:ascii="標楷體" w:eastAsia="標楷體" w:hAnsi="標楷體" w:hint="eastAsia"/>
          <w:sz w:val="28"/>
          <w:szCs w:val="28"/>
        </w:rPr>
        <w:t>主要表與明細表彼此間是否勾稽，及決算書是否如期如質函</w:t>
      </w:r>
      <w:r w:rsidR="00EF3E3A" w:rsidRPr="0065164E">
        <w:rPr>
          <w:rFonts w:ascii="標楷體" w:eastAsia="標楷體" w:hAnsi="標楷體" w:hint="eastAsia"/>
          <w:sz w:val="28"/>
          <w:szCs w:val="28"/>
        </w:rPr>
        <w:t>報</w:t>
      </w:r>
      <w:r w:rsidRPr="0065164E">
        <w:rPr>
          <w:rFonts w:ascii="標楷體" w:eastAsia="標楷體" w:hAnsi="標楷體" w:hint="eastAsia"/>
          <w:sz w:val="28"/>
          <w:szCs w:val="28"/>
        </w:rPr>
        <w:t>教育部等。企盼私校會計同仁平時</w:t>
      </w:r>
      <w:r w:rsidR="00EF3E3A" w:rsidRPr="0065164E">
        <w:rPr>
          <w:rFonts w:ascii="標楷體" w:eastAsia="標楷體" w:hAnsi="標楷體" w:hint="eastAsia"/>
          <w:sz w:val="28"/>
          <w:szCs w:val="28"/>
        </w:rPr>
        <w:t>務</w:t>
      </w:r>
      <w:r w:rsidRPr="0065164E">
        <w:rPr>
          <w:rFonts w:ascii="標楷體" w:eastAsia="標楷體" w:hAnsi="標楷體" w:hint="eastAsia"/>
          <w:sz w:val="28"/>
          <w:szCs w:val="28"/>
        </w:rPr>
        <w:t>須按會計制度之一致規定辦理會計事務，</w:t>
      </w:r>
      <w:r w:rsidR="00EF3E3A" w:rsidRPr="0065164E">
        <w:rPr>
          <w:rFonts w:ascii="標楷體" w:eastAsia="標楷體" w:hAnsi="標楷體" w:hint="eastAsia"/>
          <w:sz w:val="28"/>
          <w:szCs w:val="28"/>
        </w:rPr>
        <w:t>並</w:t>
      </w:r>
      <w:r w:rsidRPr="0065164E">
        <w:rPr>
          <w:rFonts w:ascii="標楷體" w:eastAsia="標楷體" w:hAnsi="標楷體" w:hint="eastAsia"/>
          <w:sz w:val="28"/>
          <w:szCs w:val="28"/>
        </w:rPr>
        <w:t>在學年度結束期間參酌上述審計部查核中央政府非營業特種基金所列尚須精進之處，調整未</w:t>
      </w:r>
      <w:r w:rsidRPr="0065164E">
        <w:rPr>
          <w:rFonts w:ascii="標楷體" w:eastAsia="標楷體" w:hAnsi="標楷體" w:hint="eastAsia"/>
          <w:sz w:val="28"/>
          <w:szCs w:val="28"/>
        </w:rPr>
        <w:lastRenderedPageBreak/>
        <w:t>及入帳、未及轉帳、未及評價、估計更正、科目更正、計算</w:t>
      </w:r>
      <w:r w:rsidR="00772E1B" w:rsidRPr="0065164E">
        <w:rPr>
          <w:rFonts w:ascii="標楷體" w:eastAsia="標楷體" w:hAnsi="標楷體" w:hint="eastAsia"/>
          <w:sz w:val="28"/>
          <w:szCs w:val="28"/>
        </w:rPr>
        <w:t>錯誤</w:t>
      </w:r>
      <w:r w:rsidRPr="0065164E">
        <w:rPr>
          <w:rFonts w:ascii="標楷體" w:eastAsia="標楷體" w:hAnsi="標楷體" w:hint="eastAsia"/>
          <w:sz w:val="28"/>
          <w:szCs w:val="28"/>
        </w:rPr>
        <w:t>、未符原則或規定等事項，以減少會計師查核修正或更正</w:t>
      </w:r>
      <w:r w:rsidR="00425B88" w:rsidRPr="0065164E">
        <w:rPr>
          <w:rFonts w:ascii="標楷體" w:eastAsia="標楷體" w:hAnsi="標楷體" w:hint="eastAsia"/>
          <w:sz w:val="28"/>
          <w:szCs w:val="28"/>
        </w:rPr>
        <w:t>。且</w:t>
      </w:r>
      <w:r w:rsidRPr="0065164E">
        <w:rPr>
          <w:rFonts w:ascii="標楷體" w:eastAsia="標楷體" w:hAnsi="標楷體" w:hint="eastAsia"/>
          <w:sz w:val="28"/>
          <w:szCs w:val="28"/>
        </w:rPr>
        <w:t>在完成編造決算書</w:t>
      </w:r>
      <w:r w:rsidR="00C37D82" w:rsidRPr="0065164E">
        <w:rPr>
          <w:rFonts w:ascii="標楷體" w:eastAsia="標楷體" w:hAnsi="標楷體" w:hint="eastAsia"/>
          <w:sz w:val="28"/>
          <w:szCs w:val="28"/>
        </w:rPr>
        <w:t>提報董事會前，宜再將決算書表作一次勾稽，以提升決算作業品質。</w:t>
      </w:r>
    </w:p>
    <w:p w:rsidR="00C37D82" w:rsidRPr="0065164E" w:rsidRDefault="00C37D82" w:rsidP="00C70FC2">
      <w:pPr>
        <w:ind w:left="720" w:firstLineChars="200" w:firstLine="560"/>
        <w:rPr>
          <w:rFonts w:ascii="標楷體" w:eastAsia="標楷體" w:hAnsi="標楷體"/>
          <w:sz w:val="28"/>
          <w:szCs w:val="28"/>
        </w:rPr>
      </w:pPr>
      <w:r w:rsidRPr="0065164E">
        <w:rPr>
          <w:rFonts w:ascii="標楷體" w:eastAsia="標楷體" w:hAnsi="標楷體" w:hint="eastAsia"/>
          <w:sz w:val="28"/>
          <w:szCs w:val="28"/>
        </w:rPr>
        <w:t>另教育部自本(105)年度起，將參酌臺灣證券交易所股份有限公司104年9月21日函示意旨，將簽證會計師須輔導私校會計人員提升編製財務報表能力列入</w:t>
      </w:r>
      <w:r w:rsidR="00772E1B" w:rsidRPr="0065164E">
        <w:rPr>
          <w:rFonts w:ascii="標楷體" w:eastAsia="標楷體" w:hAnsi="標楷體" w:hint="eastAsia"/>
          <w:sz w:val="28"/>
          <w:szCs w:val="28"/>
        </w:rPr>
        <w:t>協議程序之檢查</w:t>
      </w:r>
      <w:r w:rsidRPr="0065164E">
        <w:rPr>
          <w:rFonts w:ascii="標楷體" w:eastAsia="標楷體" w:hAnsi="標楷體" w:hint="eastAsia"/>
          <w:sz w:val="28"/>
          <w:szCs w:val="28"/>
        </w:rPr>
        <w:t>項目，建請會計師查核法人及其私校財務報表外勤工作期間，能協助本處輔導私校會計人員辦理會計事務及編造決算書表，以增進</w:t>
      </w:r>
      <w:r w:rsidR="00425B88" w:rsidRPr="0065164E">
        <w:rPr>
          <w:rFonts w:ascii="標楷體" w:eastAsia="標楷體" w:hAnsi="標楷體" w:hint="eastAsia"/>
          <w:sz w:val="28"/>
          <w:szCs w:val="28"/>
        </w:rPr>
        <w:t>其</w:t>
      </w:r>
      <w:r w:rsidRPr="0065164E">
        <w:rPr>
          <w:rFonts w:ascii="標楷體" w:eastAsia="標楷體" w:hAnsi="標楷體" w:hint="eastAsia"/>
          <w:sz w:val="28"/>
          <w:szCs w:val="28"/>
        </w:rPr>
        <w:t>自編財務報表能力，並有助於提升簽證品質。</w:t>
      </w:r>
    </w:p>
    <w:p w:rsidR="00C70FC2" w:rsidRPr="0065164E" w:rsidRDefault="00C70FC2">
      <w:pPr>
        <w:widowControl/>
        <w:rPr>
          <w:rFonts w:ascii="標楷體" w:eastAsia="標楷體" w:hAnsi="標楷體"/>
          <w:sz w:val="28"/>
          <w:szCs w:val="28"/>
        </w:rPr>
      </w:pPr>
      <w:r w:rsidRPr="0065164E">
        <w:rPr>
          <w:rFonts w:ascii="標楷體" w:eastAsia="標楷體" w:hAnsi="標楷體"/>
          <w:sz w:val="28"/>
          <w:szCs w:val="28"/>
        </w:rPr>
        <w:br w:type="page"/>
      </w:r>
    </w:p>
    <w:p w:rsidR="00822C23" w:rsidRPr="0065164E" w:rsidRDefault="00822C23" w:rsidP="009350B5">
      <w:pPr>
        <w:rPr>
          <w:rFonts w:ascii="標楷體" w:eastAsia="標楷體" w:hAnsi="標楷體"/>
          <w:sz w:val="28"/>
          <w:szCs w:val="28"/>
        </w:rPr>
      </w:pPr>
      <w:r w:rsidRPr="0065164E">
        <w:rPr>
          <w:rFonts w:ascii="標楷體" w:eastAsia="標楷體" w:hAnsi="標楷體" w:hint="eastAsia"/>
          <w:sz w:val="28"/>
          <w:szCs w:val="28"/>
        </w:rPr>
        <w:lastRenderedPageBreak/>
        <w:t>主要參考文獻</w:t>
      </w:r>
    </w:p>
    <w:p w:rsidR="00772E1B" w:rsidRPr="0065164E" w:rsidRDefault="00831D21" w:rsidP="00822C23">
      <w:pPr>
        <w:pStyle w:val="a3"/>
        <w:numPr>
          <w:ilvl w:val="0"/>
          <w:numId w:val="8"/>
        </w:numPr>
        <w:ind w:leftChars="0"/>
        <w:rPr>
          <w:rFonts w:ascii="標楷體" w:eastAsia="標楷體" w:hAnsi="標楷體"/>
          <w:sz w:val="28"/>
          <w:szCs w:val="28"/>
        </w:rPr>
      </w:pPr>
      <w:r w:rsidRPr="0065164E">
        <w:rPr>
          <w:rFonts w:ascii="標楷體" w:eastAsia="標楷體" w:hAnsi="標楷體" w:hint="eastAsia"/>
          <w:sz w:val="28"/>
          <w:szCs w:val="28"/>
        </w:rPr>
        <w:t>會計師查核簽證學校財團法人及所設私立專科以上學校財務報表應行注意事項，教育部104年1月9日臺教會（二）字第 1030186540B 號函訂定。</w:t>
      </w:r>
    </w:p>
    <w:p w:rsidR="00822C23" w:rsidRPr="0065164E" w:rsidRDefault="00822C23" w:rsidP="00822C23">
      <w:pPr>
        <w:pStyle w:val="a3"/>
        <w:numPr>
          <w:ilvl w:val="0"/>
          <w:numId w:val="8"/>
        </w:numPr>
        <w:ind w:leftChars="0"/>
        <w:rPr>
          <w:rFonts w:ascii="標楷體" w:eastAsia="標楷體" w:hAnsi="標楷體"/>
          <w:sz w:val="28"/>
          <w:szCs w:val="28"/>
        </w:rPr>
      </w:pPr>
      <w:r w:rsidRPr="0065164E">
        <w:rPr>
          <w:rFonts w:ascii="標楷體" w:eastAsia="標楷體" w:hAnsi="標楷體" w:hint="eastAsia"/>
          <w:sz w:val="28"/>
          <w:szCs w:val="28"/>
        </w:rPr>
        <w:t>審計部87年</w:t>
      </w:r>
      <w:r w:rsidR="004B3B73" w:rsidRPr="0065164E">
        <w:rPr>
          <w:rFonts w:ascii="標楷體" w:eastAsia="標楷體" w:hAnsi="標楷體"/>
          <w:sz w:val="28"/>
          <w:szCs w:val="28"/>
        </w:rPr>
        <w:t>3</w:t>
      </w:r>
      <w:r w:rsidRPr="0065164E">
        <w:rPr>
          <w:rFonts w:ascii="標楷體" w:eastAsia="標楷體" w:hAnsi="標楷體" w:hint="eastAsia"/>
          <w:sz w:val="28"/>
          <w:szCs w:val="28"/>
        </w:rPr>
        <w:t>月</w:t>
      </w:r>
      <w:r w:rsidR="004B3B73" w:rsidRPr="0065164E">
        <w:rPr>
          <w:rFonts w:ascii="標楷體" w:eastAsia="標楷體" w:hAnsi="標楷體" w:hint="eastAsia"/>
          <w:sz w:val="28"/>
          <w:szCs w:val="28"/>
        </w:rPr>
        <w:t>2</w:t>
      </w:r>
      <w:r w:rsidRPr="0065164E">
        <w:rPr>
          <w:rFonts w:ascii="標楷體" w:eastAsia="標楷體" w:hAnsi="標楷體" w:hint="eastAsia"/>
          <w:sz w:val="28"/>
          <w:szCs w:val="28"/>
        </w:rPr>
        <w:t>日台審部</w:t>
      </w:r>
      <w:r w:rsidR="004B3B73" w:rsidRPr="0065164E">
        <w:rPr>
          <w:rFonts w:ascii="標楷體" w:eastAsia="標楷體" w:hAnsi="標楷體"/>
          <w:sz w:val="28"/>
          <w:szCs w:val="28"/>
        </w:rPr>
        <w:t>叁</w:t>
      </w:r>
      <w:r w:rsidR="007B3C8C" w:rsidRPr="0065164E">
        <w:rPr>
          <w:rFonts w:ascii="標楷體" w:eastAsia="標楷體" w:hAnsi="標楷體" w:hint="eastAsia"/>
          <w:sz w:val="28"/>
          <w:szCs w:val="28"/>
        </w:rPr>
        <w:t>字第870275號函。</w:t>
      </w:r>
    </w:p>
    <w:p w:rsidR="00822C23" w:rsidRPr="0065164E" w:rsidRDefault="00822C23" w:rsidP="00822C23">
      <w:pPr>
        <w:pStyle w:val="a3"/>
        <w:numPr>
          <w:ilvl w:val="0"/>
          <w:numId w:val="8"/>
        </w:numPr>
        <w:ind w:leftChars="0"/>
        <w:rPr>
          <w:rFonts w:ascii="標楷體" w:eastAsia="標楷體" w:hAnsi="標楷體"/>
          <w:sz w:val="28"/>
          <w:szCs w:val="28"/>
        </w:rPr>
      </w:pPr>
      <w:r w:rsidRPr="0065164E">
        <w:rPr>
          <w:rFonts w:ascii="標楷體" w:eastAsia="標楷體" w:hAnsi="標楷體" w:hint="eastAsia"/>
          <w:sz w:val="28"/>
          <w:szCs w:val="28"/>
        </w:rPr>
        <w:t>學校財團法人及所設私立學校會計制度之一致規定，教育部104年5月18日臺會(二)字第1040065267號函訂定。</w:t>
      </w:r>
    </w:p>
    <w:p w:rsidR="00AC3405" w:rsidRDefault="00822C23" w:rsidP="0065164E">
      <w:pPr>
        <w:pStyle w:val="a3"/>
        <w:numPr>
          <w:ilvl w:val="0"/>
          <w:numId w:val="8"/>
        </w:numPr>
        <w:ind w:leftChars="0"/>
        <w:rPr>
          <w:rFonts w:ascii="標楷體" w:eastAsia="標楷體" w:hAnsi="標楷體"/>
          <w:sz w:val="28"/>
          <w:szCs w:val="28"/>
        </w:rPr>
      </w:pPr>
      <w:r w:rsidRPr="0065164E">
        <w:rPr>
          <w:rFonts w:ascii="標楷體" w:eastAsia="標楷體" w:hAnsi="標楷體" w:hint="eastAsia"/>
          <w:sz w:val="28"/>
          <w:szCs w:val="28"/>
        </w:rPr>
        <w:t>臺灣證券交易所股份有限公司104年9月21日臺證上一字第1041804315號函。</w:t>
      </w:r>
    </w:p>
    <w:p w:rsidR="008A38B4" w:rsidRPr="008A38B4" w:rsidRDefault="008A38B4" w:rsidP="008A38B4">
      <w:pPr>
        <w:rPr>
          <w:rFonts w:ascii="標楷體" w:eastAsia="標楷體" w:hAnsi="標楷體"/>
          <w:sz w:val="28"/>
          <w:szCs w:val="28"/>
        </w:rPr>
      </w:pPr>
      <w:r>
        <w:rPr>
          <w:rFonts w:ascii="標楷體" w:eastAsia="標楷體" w:hAnsi="標楷體" w:hint="eastAsia"/>
          <w:sz w:val="28"/>
          <w:szCs w:val="28"/>
        </w:rPr>
        <w:t>(本文摘自</w:t>
      </w:r>
      <w:r w:rsidRPr="008A38B4">
        <w:rPr>
          <w:rFonts w:ascii="標楷體" w:eastAsia="標楷體" w:hAnsi="標楷體" w:hint="eastAsia"/>
          <w:sz w:val="28"/>
          <w:szCs w:val="28"/>
        </w:rPr>
        <w:t>中華民國會計師公會全國聯合會</w:t>
      </w:r>
      <w:r>
        <w:rPr>
          <w:rFonts w:ascii="標楷體" w:eastAsia="標楷體" w:hAnsi="標楷體" w:hint="eastAsia"/>
          <w:sz w:val="28"/>
          <w:szCs w:val="28"/>
        </w:rPr>
        <w:t xml:space="preserve">於2016年9月出版會計師季刋第268期第29頁-38頁) </w:t>
      </w:r>
    </w:p>
    <w:sectPr w:rsidR="008A38B4" w:rsidRPr="008A38B4" w:rsidSect="006528A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02" w:rsidRDefault="00BE1902" w:rsidP="007C7BB3">
      <w:r>
        <w:separator/>
      </w:r>
    </w:p>
  </w:endnote>
  <w:endnote w:type="continuationSeparator" w:id="0">
    <w:p w:rsidR="00BE1902" w:rsidRDefault="00BE1902" w:rsidP="007C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403794"/>
      <w:docPartObj>
        <w:docPartGallery w:val="Page Numbers (Bottom of Page)"/>
        <w:docPartUnique/>
      </w:docPartObj>
    </w:sdtPr>
    <w:sdtEndPr/>
    <w:sdtContent>
      <w:p w:rsidR="00092F16" w:rsidRDefault="00384F1E">
        <w:pPr>
          <w:pStyle w:val="a6"/>
          <w:jc w:val="center"/>
        </w:pPr>
        <w:r>
          <w:fldChar w:fldCharType="begin"/>
        </w:r>
        <w:r w:rsidR="004F24EC">
          <w:instrText>PAGE   \* MERGEFORMAT</w:instrText>
        </w:r>
        <w:r>
          <w:fldChar w:fldCharType="separate"/>
        </w:r>
        <w:r w:rsidR="00BD5821" w:rsidRPr="00BD5821">
          <w:rPr>
            <w:noProof/>
            <w:lang w:val="zh-TW"/>
          </w:rPr>
          <w:t>4</w:t>
        </w:r>
        <w:r>
          <w:rPr>
            <w:noProof/>
            <w:lang w:val="zh-TW"/>
          </w:rPr>
          <w:fldChar w:fldCharType="end"/>
        </w:r>
      </w:p>
    </w:sdtContent>
  </w:sdt>
  <w:p w:rsidR="00092F16" w:rsidRDefault="00092F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02" w:rsidRDefault="00BE1902" w:rsidP="007C7BB3">
      <w:r>
        <w:separator/>
      </w:r>
    </w:p>
  </w:footnote>
  <w:footnote w:type="continuationSeparator" w:id="0">
    <w:p w:rsidR="00BE1902" w:rsidRDefault="00BE1902" w:rsidP="007C7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2C"/>
    <w:multiLevelType w:val="hybridMultilevel"/>
    <w:tmpl w:val="553E821C"/>
    <w:lvl w:ilvl="0" w:tplc="6EA059D2">
      <w:start w:val="1"/>
      <w:numFmt w:val="taiwaneseCountingThousand"/>
      <w:lvlText w:val="(%1)"/>
      <w:lvlJc w:val="left"/>
      <w:pPr>
        <w:ind w:left="2016" w:hanging="816"/>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2AB02A4"/>
    <w:multiLevelType w:val="hybridMultilevel"/>
    <w:tmpl w:val="29F86EF2"/>
    <w:lvl w:ilvl="0" w:tplc="14DEEC4C">
      <w:start w:val="1"/>
      <w:numFmt w:val="taiwaneseCountingThousand"/>
      <w:lvlText w:val="(%1)"/>
      <w:lvlJc w:val="left"/>
      <w:pPr>
        <w:ind w:left="1200" w:hanging="720"/>
      </w:pPr>
      <w:rPr>
        <w:rFonts w:hint="default"/>
      </w:rPr>
    </w:lvl>
    <w:lvl w:ilvl="1" w:tplc="D8364FC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2254B7"/>
    <w:multiLevelType w:val="hybridMultilevel"/>
    <w:tmpl w:val="546C47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46E93"/>
    <w:multiLevelType w:val="hybridMultilevel"/>
    <w:tmpl w:val="AC6891EC"/>
    <w:lvl w:ilvl="0" w:tplc="6CA0C7A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84A20D5"/>
    <w:multiLevelType w:val="hybridMultilevel"/>
    <w:tmpl w:val="9BE65C26"/>
    <w:lvl w:ilvl="0" w:tplc="1932E1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D9E298F"/>
    <w:multiLevelType w:val="hybridMultilevel"/>
    <w:tmpl w:val="0D1E89D8"/>
    <w:lvl w:ilvl="0" w:tplc="0409000F">
      <w:start w:val="1"/>
      <w:numFmt w:val="decimal"/>
      <w:lvlText w:val="%1."/>
      <w:lvlJc w:val="left"/>
      <w:pPr>
        <w:ind w:left="1577" w:hanging="72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6" w15:restartNumberingAfterBreak="0">
    <w:nsid w:val="140B183F"/>
    <w:multiLevelType w:val="hybridMultilevel"/>
    <w:tmpl w:val="D7962F88"/>
    <w:lvl w:ilvl="0" w:tplc="0409000F">
      <w:start w:val="1"/>
      <w:numFmt w:val="decimal"/>
      <w:lvlText w:val="%1."/>
      <w:lvlJc w:val="left"/>
      <w:pPr>
        <w:ind w:left="1680" w:hanging="480"/>
      </w:pPr>
    </w:lvl>
    <w:lvl w:ilvl="1" w:tplc="50C2995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5366A43"/>
    <w:multiLevelType w:val="hybridMultilevel"/>
    <w:tmpl w:val="C1EAC3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5B7A4C"/>
    <w:multiLevelType w:val="hybridMultilevel"/>
    <w:tmpl w:val="2070D3E0"/>
    <w:lvl w:ilvl="0" w:tplc="25A45B26">
      <w:start w:val="1"/>
      <w:numFmt w:val="taiwaneseCountingThousand"/>
      <w:lvlText w:val="(%1)"/>
      <w:lvlJc w:val="left"/>
      <w:pPr>
        <w:ind w:left="1577" w:hanging="72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9" w15:restartNumberingAfterBreak="0">
    <w:nsid w:val="20B44DB7"/>
    <w:multiLevelType w:val="hybridMultilevel"/>
    <w:tmpl w:val="7708E122"/>
    <w:lvl w:ilvl="0" w:tplc="F5AC4AA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363A91"/>
    <w:multiLevelType w:val="hybridMultilevel"/>
    <w:tmpl w:val="189EC5AC"/>
    <w:lvl w:ilvl="0" w:tplc="78468D6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FF6534"/>
    <w:multiLevelType w:val="hybridMultilevel"/>
    <w:tmpl w:val="92F0A8E2"/>
    <w:lvl w:ilvl="0" w:tplc="0409000F">
      <w:start w:val="1"/>
      <w:numFmt w:val="decimal"/>
      <w:lvlText w:val="%1."/>
      <w:lvlJc w:val="left"/>
      <w:pPr>
        <w:ind w:left="1680" w:hanging="480"/>
      </w:pPr>
    </w:lvl>
    <w:lvl w:ilvl="1" w:tplc="0409000F">
      <w:start w:val="1"/>
      <w:numFmt w:val="decim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89F6A31"/>
    <w:multiLevelType w:val="hybridMultilevel"/>
    <w:tmpl w:val="36D86F04"/>
    <w:lvl w:ilvl="0" w:tplc="7854C5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D95D4E"/>
    <w:multiLevelType w:val="hybridMultilevel"/>
    <w:tmpl w:val="68A28870"/>
    <w:lvl w:ilvl="0" w:tplc="D8827838">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0F6338"/>
    <w:multiLevelType w:val="hybridMultilevel"/>
    <w:tmpl w:val="33883196"/>
    <w:lvl w:ilvl="0" w:tplc="47945E4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3C620AA"/>
    <w:multiLevelType w:val="hybridMultilevel"/>
    <w:tmpl w:val="A87E6F36"/>
    <w:lvl w:ilvl="0" w:tplc="D6B43EB8">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1A2252"/>
    <w:multiLevelType w:val="hybridMultilevel"/>
    <w:tmpl w:val="FE56B95C"/>
    <w:lvl w:ilvl="0" w:tplc="FB36CB04">
      <w:start w:val="1"/>
      <w:numFmt w:val="decimal"/>
      <w:lvlText w:val="%1."/>
      <w:lvlJc w:val="left"/>
      <w:pPr>
        <w:ind w:left="1608" w:hanging="408"/>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7047390"/>
    <w:multiLevelType w:val="hybridMultilevel"/>
    <w:tmpl w:val="F07C8AA2"/>
    <w:lvl w:ilvl="0" w:tplc="4A2E467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59677F51"/>
    <w:multiLevelType w:val="hybridMultilevel"/>
    <w:tmpl w:val="23F60ECE"/>
    <w:lvl w:ilvl="0" w:tplc="50C299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8758A8"/>
    <w:multiLevelType w:val="hybridMultilevel"/>
    <w:tmpl w:val="B7ACDF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9973F30"/>
    <w:multiLevelType w:val="hybridMultilevel"/>
    <w:tmpl w:val="6B90F5B8"/>
    <w:lvl w:ilvl="0" w:tplc="EA100B3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CDC2DE4"/>
    <w:multiLevelType w:val="hybridMultilevel"/>
    <w:tmpl w:val="B2E443A8"/>
    <w:lvl w:ilvl="0" w:tplc="261ED3BE">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61E31C1D"/>
    <w:multiLevelType w:val="hybridMultilevel"/>
    <w:tmpl w:val="8C3AEF40"/>
    <w:lvl w:ilvl="0" w:tplc="4D566194">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F65F0C"/>
    <w:multiLevelType w:val="hybridMultilevel"/>
    <w:tmpl w:val="444C802C"/>
    <w:lvl w:ilvl="0" w:tplc="50C299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DE5FD2"/>
    <w:multiLevelType w:val="hybridMultilevel"/>
    <w:tmpl w:val="383A823E"/>
    <w:lvl w:ilvl="0" w:tplc="69740DD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C084089"/>
    <w:multiLevelType w:val="hybridMultilevel"/>
    <w:tmpl w:val="289E9DBA"/>
    <w:lvl w:ilvl="0" w:tplc="500422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7576A7"/>
    <w:multiLevelType w:val="hybridMultilevel"/>
    <w:tmpl w:val="4EB869D2"/>
    <w:lvl w:ilvl="0" w:tplc="D5327E1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D06A0C"/>
    <w:multiLevelType w:val="hybridMultilevel"/>
    <w:tmpl w:val="260ACBCE"/>
    <w:lvl w:ilvl="0" w:tplc="D5327E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num w:numId="1">
    <w:abstractNumId w:val="9"/>
  </w:num>
  <w:num w:numId="2">
    <w:abstractNumId w:val="4"/>
  </w:num>
  <w:num w:numId="3">
    <w:abstractNumId w:val="14"/>
  </w:num>
  <w:num w:numId="4">
    <w:abstractNumId w:val="17"/>
  </w:num>
  <w:num w:numId="5">
    <w:abstractNumId w:val="22"/>
  </w:num>
  <w:num w:numId="6">
    <w:abstractNumId w:val="20"/>
  </w:num>
  <w:num w:numId="7">
    <w:abstractNumId w:val="21"/>
  </w:num>
  <w:num w:numId="8">
    <w:abstractNumId w:val="2"/>
  </w:num>
  <w:num w:numId="9">
    <w:abstractNumId w:val="12"/>
  </w:num>
  <w:num w:numId="10">
    <w:abstractNumId w:val="10"/>
  </w:num>
  <w:num w:numId="11">
    <w:abstractNumId w:val="3"/>
  </w:num>
  <w:num w:numId="12">
    <w:abstractNumId w:val="0"/>
  </w:num>
  <w:num w:numId="13">
    <w:abstractNumId w:val="25"/>
  </w:num>
  <w:num w:numId="14">
    <w:abstractNumId w:val="26"/>
  </w:num>
  <w:num w:numId="15">
    <w:abstractNumId w:val="27"/>
  </w:num>
  <w:num w:numId="16">
    <w:abstractNumId w:val="13"/>
  </w:num>
  <w:num w:numId="17">
    <w:abstractNumId w:val="8"/>
  </w:num>
  <w:num w:numId="18">
    <w:abstractNumId w:val="5"/>
  </w:num>
  <w:num w:numId="19">
    <w:abstractNumId w:val="7"/>
  </w:num>
  <w:num w:numId="20">
    <w:abstractNumId w:val="19"/>
  </w:num>
  <w:num w:numId="21">
    <w:abstractNumId w:val="15"/>
  </w:num>
  <w:num w:numId="22">
    <w:abstractNumId w:val="1"/>
  </w:num>
  <w:num w:numId="23">
    <w:abstractNumId w:val="16"/>
  </w:num>
  <w:num w:numId="24">
    <w:abstractNumId w:val="24"/>
  </w:num>
  <w:num w:numId="25">
    <w:abstractNumId w:val="11"/>
  </w:num>
  <w:num w:numId="26">
    <w:abstractNumId w:val="11"/>
    <w:lvlOverride w:ilvl="0">
      <w:lvl w:ilvl="0" w:tplc="0409000F">
        <w:start w:val="1"/>
        <w:numFmt w:val="decimal"/>
        <w:lvlText w:val="%1."/>
        <w:lvlJc w:val="left"/>
        <w:pPr>
          <w:ind w:left="2160" w:hanging="480"/>
        </w:pPr>
        <w:rPr>
          <w:rFonts w:hint="eastAsia"/>
        </w:rPr>
      </w:lvl>
    </w:lvlOverride>
    <w:lvlOverride w:ilvl="1">
      <w:lvl w:ilvl="1" w:tplc="0409000F">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6"/>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BB1"/>
    <w:rsid w:val="0000392D"/>
    <w:rsid w:val="0003342B"/>
    <w:rsid w:val="00040C0C"/>
    <w:rsid w:val="000712B1"/>
    <w:rsid w:val="00092F16"/>
    <w:rsid w:val="00101825"/>
    <w:rsid w:val="0012149F"/>
    <w:rsid w:val="00153229"/>
    <w:rsid w:val="001618BE"/>
    <w:rsid w:val="00164AA2"/>
    <w:rsid w:val="00187ED2"/>
    <w:rsid w:val="001C4D6C"/>
    <w:rsid w:val="00223EE9"/>
    <w:rsid w:val="00262132"/>
    <w:rsid w:val="00283FAF"/>
    <w:rsid w:val="002A1100"/>
    <w:rsid w:val="002E0406"/>
    <w:rsid w:val="0031054E"/>
    <w:rsid w:val="00314BAF"/>
    <w:rsid w:val="00324B37"/>
    <w:rsid w:val="003420D7"/>
    <w:rsid w:val="00377756"/>
    <w:rsid w:val="00384F1E"/>
    <w:rsid w:val="003E67F0"/>
    <w:rsid w:val="00425B88"/>
    <w:rsid w:val="00427D37"/>
    <w:rsid w:val="00432A1D"/>
    <w:rsid w:val="00454AAC"/>
    <w:rsid w:val="004A1C80"/>
    <w:rsid w:val="004B3B73"/>
    <w:rsid w:val="004C5A10"/>
    <w:rsid w:val="004E20A2"/>
    <w:rsid w:val="004E4277"/>
    <w:rsid w:val="004F24EC"/>
    <w:rsid w:val="0051515B"/>
    <w:rsid w:val="00517176"/>
    <w:rsid w:val="00530ABA"/>
    <w:rsid w:val="00545EC3"/>
    <w:rsid w:val="00573977"/>
    <w:rsid w:val="005E4391"/>
    <w:rsid w:val="005F6429"/>
    <w:rsid w:val="00627BEA"/>
    <w:rsid w:val="0065164E"/>
    <w:rsid w:val="006528AE"/>
    <w:rsid w:val="006542CA"/>
    <w:rsid w:val="006867F6"/>
    <w:rsid w:val="00696B92"/>
    <w:rsid w:val="006D1DE2"/>
    <w:rsid w:val="006F76BE"/>
    <w:rsid w:val="007012CB"/>
    <w:rsid w:val="00757641"/>
    <w:rsid w:val="00772E1B"/>
    <w:rsid w:val="007901A2"/>
    <w:rsid w:val="00792F21"/>
    <w:rsid w:val="007B0908"/>
    <w:rsid w:val="007B3C8C"/>
    <w:rsid w:val="007C7BB3"/>
    <w:rsid w:val="007E385C"/>
    <w:rsid w:val="00822C23"/>
    <w:rsid w:val="00831D21"/>
    <w:rsid w:val="008A38B4"/>
    <w:rsid w:val="008A7BB3"/>
    <w:rsid w:val="008C6B2F"/>
    <w:rsid w:val="008D4C52"/>
    <w:rsid w:val="008E6524"/>
    <w:rsid w:val="00914281"/>
    <w:rsid w:val="009350B5"/>
    <w:rsid w:val="00936DDD"/>
    <w:rsid w:val="00960FC7"/>
    <w:rsid w:val="0098172C"/>
    <w:rsid w:val="00984C19"/>
    <w:rsid w:val="00A01DB1"/>
    <w:rsid w:val="00A37963"/>
    <w:rsid w:val="00A41DD2"/>
    <w:rsid w:val="00AA007D"/>
    <w:rsid w:val="00AC3405"/>
    <w:rsid w:val="00AD33D4"/>
    <w:rsid w:val="00B57F5D"/>
    <w:rsid w:val="00BD5821"/>
    <w:rsid w:val="00BE00EA"/>
    <w:rsid w:val="00BE1902"/>
    <w:rsid w:val="00C3415D"/>
    <w:rsid w:val="00C37D82"/>
    <w:rsid w:val="00C44379"/>
    <w:rsid w:val="00C472B2"/>
    <w:rsid w:val="00C5651D"/>
    <w:rsid w:val="00C611A6"/>
    <w:rsid w:val="00C70FC2"/>
    <w:rsid w:val="00C80115"/>
    <w:rsid w:val="00CC06D2"/>
    <w:rsid w:val="00CD193C"/>
    <w:rsid w:val="00E07BB1"/>
    <w:rsid w:val="00E233EE"/>
    <w:rsid w:val="00E8112C"/>
    <w:rsid w:val="00EF3E3A"/>
    <w:rsid w:val="00F0736A"/>
    <w:rsid w:val="00F109AD"/>
    <w:rsid w:val="00F55E9C"/>
    <w:rsid w:val="00F653FE"/>
    <w:rsid w:val="00F84C40"/>
    <w:rsid w:val="00FD2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725F9-677D-4C6A-991A-CE8AECED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BB1"/>
    <w:pPr>
      <w:ind w:leftChars="200" w:left="480"/>
    </w:pPr>
  </w:style>
  <w:style w:type="paragraph" w:styleId="a4">
    <w:name w:val="header"/>
    <w:basedOn w:val="a"/>
    <w:link w:val="a5"/>
    <w:uiPriority w:val="99"/>
    <w:unhideWhenUsed/>
    <w:rsid w:val="007C7BB3"/>
    <w:pPr>
      <w:tabs>
        <w:tab w:val="center" w:pos="4153"/>
        <w:tab w:val="right" w:pos="8306"/>
      </w:tabs>
      <w:snapToGrid w:val="0"/>
    </w:pPr>
    <w:rPr>
      <w:sz w:val="20"/>
      <w:szCs w:val="20"/>
    </w:rPr>
  </w:style>
  <w:style w:type="character" w:customStyle="1" w:styleId="a5">
    <w:name w:val="頁首 字元"/>
    <w:basedOn w:val="a0"/>
    <w:link w:val="a4"/>
    <w:uiPriority w:val="99"/>
    <w:rsid w:val="007C7BB3"/>
    <w:rPr>
      <w:sz w:val="20"/>
      <w:szCs w:val="20"/>
    </w:rPr>
  </w:style>
  <w:style w:type="paragraph" w:styleId="a6">
    <w:name w:val="footer"/>
    <w:basedOn w:val="a"/>
    <w:link w:val="a7"/>
    <w:uiPriority w:val="99"/>
    <w:unhideWhenUsed/>
    <w:rsid w:val="007C7BB3"/>
    <w:pPr>
      <w:tabs>
        <w:tab w:val="center" w:pos="4153"/>
        <w:tab w:val="right" w:pos="8306"/>
      </w:tabs>
      <w:snapToGrid w:val="0"/>
    </w:pPr>
    <w:rPr>
      <w:sz w:val="20"/>
      <w:szCs w:val="20"/>
    </w:rPr>
  </w:style>
  <w:style w:type="character" w:customStyle="1" w:styleId="a7">
    <w:name w:val="頁尾 字元"/>
    <w:basedOn w:val="a0"/>
    <w:link w:val="a6"/>
    <w:uiPriority w:val="99"/>
    <w:rsid w:val="007C7BB3"/>
    <w:rPr>
      <w:sz w:val="20"/>
      <w:szCs w:val="20"/>
    </w:rPr>
  </w:style>
  <w:style w:type="paragraph" w:styleId="a8">
    <w:name w:val="Plain Text"/>
    <w:basedOn w:val="a"/>
    <w:link w:val="a9"/>
    <w:rsid w:val="00BE00EA"/>
    <w:rPr>
      <w:rFonts w:ascii="細明體" w:eastAsia="細明體" w:hAnsi="Courier New" w:cs="Times New Roman"/>
      <w:b/>
      <w:szCs w:val="20"/>
    </w:rPr>
  </w:style>
  <w:style w:type="character" w:customStyle="1" w:styleId="a9">
    <w:name w:val="純文字 字元"/>
    <w:basedOn w:val="a0"/>
    <w:link w:val="a8"/>
    <w:rsid w:val="00BE00EA"/>
    <w:rPr>
      <w:rFonts w:ascii="細明體" w:eastAsia="細明體" w:hAnsi="Courier New" w:cs="Times New Roman"/>
      <w:b/>
      <w:szCs w:val="20"/>
    </w:rPr>
  </w:style>
  <w:style w:type="paragraph" w:styleId="aa">
    <w:name w:val="Balloon Text"/>
    <w:basedOn w:val="a"/>
    <w:link w:val="ab"/>
    <w:uiPriority w:val="99"/>
    <w:semiHidden/>
    <w:unhideWhenUsed/>
    <w:rsid w:val="00425B8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5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CC4C-A4EC-4B18-A17D-D4B5BE9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663</Words>
  <Characters>3781</Characters>
  <Application>Microsoft Office Word</Application>
  <DocSecurity>0</DocSecurity>
  <Lines>31</Lines>
  <Paragraphs>8</Paragraphs>
  <ScaleCrop>false</ScaleCrop>
  <Company>Toshiba</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蔡明容</dc:creator>
  <cp:lastModifiedBy>陳淑惠</cp:lastModifiedBy>
  <cp:revision>4</cp:revision>
  <cp:lastPrinted>2016-09-20T03:49:00Z</cp:lastPrinted>
  <dcterms:created xsi:type="dcterms:W3CDTF">2016-09-25T11:38:00Z</dcterms:created>
  <dcterms:modified xsi:type="dcterms:W3CDTF">2016-09-29T08:11:00Z</dcterms:modified>
</cp:coreProperties>
</file>