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AA" w:rsidRPr="00035F93" w:rsidRDefault="003524AA" w:rsidP="003524AA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035F93">
        <w:rPr>
          <w:rFonts w:ascii="Arial" w:eastAsia="標楷體" w:hAnsi="Arial" w:cs="Arial"/>
          <w:b/>
          <w:bCs/>
          <w:sz w:val="36"/>
          <w:szCs w:val="36"/>
        </w:rPr>
        <w:t>教育部第</w:t>
      </w:r>
      <w:r w:rsidRPr="00035F93">
        <w:rPr>
          <w:rFonts w:ascii="Arial" w:eastAsia="標楷體" w:hAnsi="Arial" w:cs="Arial"/>
          <w:b/>
          <w:bCs/>
          <w:sz w:val="36"/>
          <w:szCs w:val="36"/>
        </w:rPr>
        <w:t>8</w:t>
      </w:r>
      <w:r w:rsidR="00B27BD0">
        <w:rPr>
          <w:rFonts w:ascii="Arial" w:eastAsia="標楷體" w:hAnsi="Arial" w:cs="Arial"/>
          <w:b/>
          <w:bCs/>
          <w:sz w:val="36"/>
          <w:szCs w:val="36"/>
        </w:rPr>
        <w:t>屆性別平等教育委員會委員</w:t>
      </w:r>
      <w:bookmarkStart w:id="0" w:name="_GoBack"/>
      <w:bookmarkEnd w:id="0"/>
    </w:p>
    <w:p w:rsidR="003524AA" w:rsidRPr="00035F93" w:rsidRDefault="003524AA" w:rsidP="003524AA">
      <w:pPr>
        <w:spacing w:afterLines="50" w:after="180"/>
        <w:jc w:val="center"/>
        <w:rPr>
          <w:rFonts w:ascii="Arial" w:eastAsia="標楷體" w:hAnsi="Arial" w:cs="Arial"/>
          <w:bCs/>
          <w:szCs w:val="24"/>
        </w:rPr>
      </w:pPr>
      <w:r w:rsidRPr="00035F93">
        <w:rPr>
          <w:rFonts w:ascii="Arial" w:eastAsia="標楷體" w:hAnsi="Arial" w:cs="Arial"/>
          <w:bCs/>
          <w:szCs w:val="24"/>
        </w:rPr>
        <w:t>（任期自</w:t>
      </w:r>
      <w:r w:rsidRPr="00035F93">
        <w:rPr>
          <w:rFonts w:ascii="Arial" w:eastAsia="標楷體" w:hAnsi="Arial" w:cs="Arial"/>
          <w:bCs/>
          <w:szCs w:val="24"/>
        </w:rPr>
        <w:t>107</w:t>
      </w:r>
      <w:r w:rsidRPr="00035F93">
        <w:rPr>
          <w:rFonts w:ascii="Arial" w:eastAsia="標楷體" w:hAnsi="Arial" w:cs="Arial"/>
          <w:bCs/>
          <w:szCs w:val="24"/>
        </w:rPr>
        <w:t>年</w:t>
      </w:r>
      <w:r w:rsidRPr="00035F93">
        <w:rPr>
          <w:rFonts w:ascii="Arial" w:eastAsia="標楷體" w:hAnsi="Arial" w:cs="Arial"/>
          <w:bCs/>
          <w:szCs w:val="24"/>
        </w:rPr>
        <w:t>1</w:t>
      </w:r>
      <w:r w:rsidRPr="00035F93">
        <w:rPr>
          <w:rFonts w:ascii="Arial" w:eastAsia="標楷體" w:hAnsi="Arial" w:cs="Arial"/>
          <w:bCs/>
          <w:szCs w:val="24"/>
        </w:rPr>
        <w:t>月</w:t>
      </w:r>
      <w:r w:rsidRPr="00035F93">
        <w:rPr>
          <w:rFonts w:ascii="Arial" w:eastAsia="標楷體" w:hAnsi="Arial" w:cs="Arial"/>
          <w:bCs/>
          <w:szCs w:val="24"/>
        </w:rPr>
        <w:t>1</w:t>
      </w:r>
      <w:r w:rsidRPr="00035F93">
        <w:rPr>
          <w:rFonts w:ascii="Arial" w:eastAsia="標楷體" w:hAnsi="Arial" w:cs="Arial"/>
          <w:bCs/>
          <w:szCs w:val="24"/>
        </w:rPr>
        <w:t>日起至</w:t>
      </w:r>
      <w:r w:rsidRPr="00035F93">
        <w:rPr>
          <w:rFonts w:ascii="Arial" w:eastAsia="標楷體" w:hAnsi="Arial" w:cs="Arial"/>
          <w:bCs/>
          <w:szCs w:val="24"/>
        </w:rPr>
        <w:t>108</w:t>
      </w:r>
      <w:r w:rsidRPr="00035F93">
        <w:rPr>
          <w:rFonts w:ascii="Arial" w:eastAsia="標楷體" w:hAnsi="Arial" w:cs="Arial"/>
          <w:bCs/>
          <w:szCs w:val="24"/>
        </w:rPr>
        <w:t>年</w:t>
      </w:r>
      <w:r w:rsidRPr="00035F93">
        <w:rPr>
          <w:rFonts w:ascii="Arial" w:eastAsia="標楷體" w:hAnsi="Arial" w:cs="Arial"/>
          <w:bCs/>
          <w:szCs w:val="24"/>
        </w:rPr>
        <w:t>12</w:t>
      </w:r>
      <w:r w:rsidRPr="00035F93">
        <w:rPr>
          <w:rFonts w:ascii="Arial" w:eastAsia="標楷體" w:hAnsi="Arial" w:cs="Arial"/>
          <w:bCs/>
          <w:szCs w:val="24"/>
        </w:rPr>
        <w:t>月</w:t>
      </w:r>
      <w:r w:rsidRPr="00035F93">
        <w:rPr>
          <w:rFonts w:ascii="Arial" w:eastAsia="標楷體" w:hAnsi="Arial" w:cs="Arial"/>
          <w:bCs/>
          <w:szCs w:val="24"/>
        </w:rPr>
        <w:t>31</w:t>
      </w:r>
      <w:r w:rsidRPr="00035F93">
        <w:rPr>
          <w:rFonts w:ascii="Arial" w:eastAsia="標楷體" w:hAnsi="Arial" w:cs="Arial"/>
          <w:bCs/>
          <w:szCs w:val="24"/>
        </w:rPr>
        <w:t>日止）</w:t>
      </w:r>
    </w:p>
    <w:p w:rsidR="003524AA" w:rsidRPr="00035F93" w:rsidRDefault="003524AA" w:rsidP="003524AA">
      <w:pPr>
        <w:snapToGrid w:val="0"/>
        <w:ind w:leftChars="150" w:left="360"/>
        <w:jc w:val="both"/>
        <w:rPr>
          <w:rFonts w:ascii="Arial" w:eastAsia="標楷體" w:hAnsi="Arial" w:cs="Arial"/>
          <w:sz w:val="28"/>
          <w:szCs w:val="28"/>
        </w:rPr>
      </w:pPr>
      <w:r w:rsidRPr="00035F93">
        <w:rPr>
          <w:rFonts w:ascii="Arial" w:eastAsia="標楷體" w:hAnsi="Arial" w:cs="Arial"/>
          <w:sz w:val="28"/>
          <w:szCs w:val="28"/>
        </w:rPr>
        <w:t>委員共計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21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人：女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13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人（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61.9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％），男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8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人（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38.1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％）。部外委員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16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人（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76.19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％）</w:t>
      </w:r>
      <w:r w:rsidRPr="00035F93">
        <w:rPr>
          <w:rFonts w:ascii="Arial" w:eastAsia="標楷體" w:hAnsi="Arial" w:cs="Arial"/>
          <w:sz w:val="28"/>
          <w:szCs w:val="28"/>
        </w:rPr>
        <w:t>。</w:t>
      </w:r>
    </w:p>
    <w:p w:rsidR="003524AA" w:rsidRPr="00035F93" w:rsidRDefault="003524AA" w:rsidP="003524AA">
      <w:pPr>
        <w:snapToGrid w:val="0"/>
        <w:ind w:leftChars="150" w:left="360"/>
        <w:jc w:val="both"/>
        <w:rPr>
          <w:rFonts w:ascii="Arial" w:eastAsia="標楷體" w:hAnsi="Arial" w:cs="Arial"/>
          <w:color w:val="0000FF"/>
        </w:rPr>
      </w:pPr>
      <w:r w:rsidRPr="00035F93">
        <w:rPr>
          <w:rFonts w:ascii="Arial" w:eastAsia="標楷體" w:hAnsi="Arial" w:cs="Arial"/>
          <w:sz w:val="28"/>
          <w:szCs w:val="28"/>
        </w:rPr>
        <w:t>性別平等教育相關領域之專家學者、民間團體代表及實務工作者之委員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計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16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人（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76.19</w:t>
      </w:r>
      <w:r w:rsidRPr="00035F93">
        <w:rPr>
          <w:rFonts w:ascii="Arial" w:eastAsia="標楷體" w:hAnsi="Arial" w:cs="Arial"/>
          <w:color w:val="FF0000"/>
          <w:sz w:val="28"/>
          <w:szCs w:val="28"/>
        </w:rPr>
        <w:t>％）</w:t>
      </w:r>
      <w:r w:rsidRPr="00035F93">
        <w:rPr>
          <w:rFonts w:ascii="Arial" w:eastAsia="標楷體" w:hAnsi="Arial" w:cs="Arial"/>
          <w:sz w:val="28"/>
          <w:szCs w:val="28"/>
        </w:rPr>
        <w:t>。</w:t>
      </w:r>
      <w:r w:rsidRPr="00035F93">
        <w:rPr>
          <w:rFonts w:ascii="Arial" w:eastAsia="標楷體" w:hAnsi="Arial" w:cs="Arial"/>
          <w:sz w:val="28"/>
          <w:szCs w:val="28"/>
        </w:rPr>
        <w:t xml:space="preserve">      </w:t>
      </w:r>
      <w:r w:rsidRPr="00035F93">
        <w:rPr>
          <w:rFonts w:ascii="Arial" w:eastAsia="標楷體" w:hAnsi="Arial" w:cs="Arial"/>
          <w:color w:val="000000"/>
          <w:sz w:val="28"/>
          <w:szCs w:val="28"/>
        </w:rPr>
        <w:t xml:space="preserve">              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9"/>
        <w:gridCol w:w="1325"/>
        <w:gridCol w:w="8624"/>
      </w:tblGrid>
      <w:tr w:rsidR="003524AA" w:rsidRPr="00035F93" w:rsidTr="009C2996">
        <w:trPr>
          <w:trHeight w:val="742"/>
          <w:tblHeader/>
          <w:jc w:val="center"/>
        </w:trPr>
        <w:tc>
          <w:tcPr>
            <w:tcW w:w="348" w:type="pct"/>
            <w:shd w:val="clear" w:color="auto" w:fill="FFFF99"/>
            <w:vAlign w:val="center"/>
          </w:tcPr>
          <w:p w:rsidR="003524AA" w:rsidRPr="00035F93" w:rsidRDefault="003524AA" w:rsidP="009C299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>姓</w:t>
            </w: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>名</w:t>
            </w:r>
          </w:p>
        </w:tc>
        <w:tc>
          <w:tcPr>
            <w:tcW w:w="86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035F93" w:rsidRDefault="003524AA" w:rsidP="009C299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>性別</w:t>
            </w:r>
          </w:p>
        </w:tc>
        <w:tc>
          <w:tcPr>
            <w:tcW w:w="560" w:type="pc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035F93" w:rsidRDefault="003524AA" w:rsidP="009C299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>現</w:t>
            </w: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035F93">
              <w:rPr>
                <w:rFonts w:ascii="Arial" w:eastAsia="標楷體" w:hAnsi="Arial" w:cs="Arial"/>
                <w:b/>
                <w:bCs/>
                <w:szCs w:val="24"/>
              </w:rPr>
              <w:t>職</w:t>
            </w:r>
          </w:p>
        </w:tc>
      </w:tr>
      <w:tr w:rsidR="003524AA" w:rsidRPr="00F70429" w:rsidTr="009C2996">
        <w:trPr>
          <w:trHeight w:val="742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szCs w:val="24"/>
              </w:rPr>
              <w:t>潘文忠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男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教育部部長</w:t>
            </w:r>
          </w:p>
        </w:tc>
      </w:tr>
      <w:tr w:rsidR="003524AA" w:rsidRPr="00F70429" w:rsidTr="009C2996">
        <w:trPr>
          <w:trHeight w:val="742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 w:hint="eastAsia"/>
                <w:b/>
                <w:szCs w:val="24"/>
              </w:rPr>
              <w:t>林騰蛟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男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教育部</w:t>
            </w:r>
            <w:r w:rsidRPr="00F70429">
              <w:rPr>
                <w:rFonts w:ascii="Arial" w:eastAsia="標楷體" w:hAnsi="Arial" w:cs="Arial" w:hint="eastAsia"/>
                <w:szCs w:val="24"/>
              </w:rPr>
              <w:t>常</w:t>
            </w:r>
            <w:r w:rsidRPr="00F70429">
              <w:rPr>
                <w:rFonts w:ascii="Arial" w:eastAsia="標楷體" w:hAnsi="Arial" w:cs="Arial"/>
                <w:szCs w:val="24"/>
              </w:rPr>
              <w:t>務次長</w:t>
            </w:r>
          </w:p>
        </w:tc>
      </w:tr>
      <w:tr w:rsidR="003524AA" w:rsidRPr="00F70429" w:rsidTr="009C2996">
        <w:trPr>
          <w:trHeight w:val="742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 w:hint="eastAsia"/>
                <w:b/>
                <w:szCs w:val="24"/>
              </w:rPr>
              <w:t>彭富源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男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教育部國民及學前教育署署長</w:t>
            </w:r>
          </w:p>
        </w:tc>
      </w:tr>
      <w:tr w:rsidR="003524AA" w:rsidRPr="00F70429" w:rsidTr="009C2996">
        <w:trPr>
          <w:trHeight w:val="742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szCs w:val="24"/>
              </w:rPr>
              <w:t>黃雯玲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napToGrid w:val="0"/>
              <w:spacing w:before="50" w:after="50"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教育部綜合規劃司司長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szCs w:val="24"/>
              </w:rPr>
              <w:t>鄭乃文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男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教育部學生事務及特殊教育司司長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szCs w:val="24"/>
              </w:rPr>
              <w:t>伊斯坦大・達妮芙</w:t>
            </w:r>
          </w:p>
        </w:tc>
        <w:tc>
          <w:tcPr>
            <w:tcW w:w="8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56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高雄市政府教育局原住民族教育資源中心主任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呂明蓁</w:t>
            </w:r>
          </w:p>
        </w:tc>
        <w:tc>
          <w:tcPr>
            <w:tcW w:w="8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國立臺南大學助理教授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szCs w:val="24"/>
              </w:rPr>
              <w:t>李怡穎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新竹市</w:t>
            </w:r>
            <w:r w:rsidRPr="00F70429">
              <w:rPr>
                <w:rFonts w:ascii="Arial" w:eastAsia="標楷體" w:hAnsi="Arial" w:cs="Arial" w:hint="eastAsia"/>
                <w:color w:val="000000"/>
                <w:szCs w:val="24"/>
              </w:rPr>
              <w:t>東區關埔國民小學教務主任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lastRenderedPageBreak/>
              <w:t>李雅菁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中華民國全國教師會</w:t>
            </w:r>
            <w:r w:rsidRPr="00F70429">
              <w:rPr>
                <w:rFonts w:ascii="Arial" w:eastAsia="標楷體" w:hAnsi="Arial" w:cs="Arial" w:hint="eastAsia"/>
                <w:color w:val="000000"/>
                <w:szCs w:val="24"/>
              </w:rPr>
              <w:t>副</w:t>
            </w: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秘書長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吳志光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男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輔仁大學法律</w:t>
            </w:r>
            <w:hyperlink r:id="rId6" w:history="1">
              <w:r w:rsidRPr="00F70429">
                <w:rPr>
                  <w:rFonts w:ascii="Arial" w:eastAsia="標楷體" w:hAnsi="Arial" w:cs="Arial"/>
                  <w:color w:val="000000"/>
                  <w:szCs w:val="24"/>
                </w:rPr>
                <w:t>學系</w:t>
              </w:r>
            </w:hyperlink>
            <w:r w:rsidRPr="00F70429">
              <w:rPr>
                <w:rFonts w:ascii="Arial" w:eastAsia="標楷體" w:hAnsi="Arial" w:cs="Arial" w:hint="eastAsia"/>
                <w:color w:val="000000"/>
                <w:szCs w:val="24"/>
              </w:rPr>
              <w:t>教授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吳孟玲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華得聯合法律事務所執業律師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卓耕宇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男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高雄市立中正高工專任輔導教師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林玲華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全國家長團體聯盟常務理事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黃木姻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桃園市立東安國小校長</w:t>
            </w:r>
          </w:p>
        </w:tc>
      </w:tr>
      <w:tr w:rsidR="003524AA" w:rsidRPr="001E6A55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1E6A55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1E6A55">
              <w:rPr>
                <w:rFonts w:ascii="Arial" w:eastAsia="標楷體" w:hAnsi="Arial" w:cs="Arial"/>
                <w:b/>
                <w:color w:val="000000"/>
                <w:szCs w:val="24"/>
              </w:rPr>
              <w:t>黃俐雅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1E6A55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1E6A55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1E6A55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1E6A55">
              <w:rPr>
                <w:rFonts w:ascii="Arial" w:eastAsia="標楷體" w:hAnsi="Arial" w:cs="Arial"/>
                <w:color w:val="000000"/>
                <w:szCs w:val="24"/>
              </w:rPr>
              <w:t>財團法人人本教育文教基金會工作委員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莊淑靜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台灣性別平等教育協會理事長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張盈堃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男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國立政治大學幼兒教育研究所副教授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葉德蘭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國立臺灣大學外國語文學系暨研究所教授、臺大婦女研究室研究員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lastRenderedPageBreak/>
              <w:t>魏素鄉</w:t>
            </w: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新北市政府教育局聘任督學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顏正芳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男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高雄醫學大學醫學系教授</w:t>
            </w:r>
          </w:p>
        </w:tc>
      </w:tr>
      <w:tr w:rsidR="003524AA" w:rsidRPr="00F70429" w:rsidTr="009C2996">
        <w:trPr>
          <w:trHeight w:val="820"/>
          <w:jc w:val="center"/>
        </w:trPr>
        <w:tc>
          <w:tcPr>
            <w:tcW w:w="348" w:type="pct"/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b/>
                <w:color w:val="000000"/>
                <w:szCs w:val="24"/>
              </w:rPr>
              <w:t>羅燦煐</w:t>
            </w:r>
          </w:p>
        </w:tc>
        <w:tc>
          <w:tcPr>
            <w:tcW w:w="8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F70429">
              <w:rPr>
                <w:rFonts w:ascii="Arial" w:eastAsia="標楷體" w:hAnsi="Arial" w:cs="Arial"/>
                <w:color w:val="000000"/>
                <w:szCs w:val="24"/>
              </w:rPr>
              <w:t>女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4AA" w:rsidRPr="00F70429" w:rsidRDefault="003524AA" w:rsidP="009C2996">
            <w:pPr>
              <w:spacing w:line="2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F70429">
              <w:rPr>
                <w:rFonts w:ascii="Arial" w:eastAsia="標楷體" w:hAnsi="Arial" w:cs="Arial"/>
                <w:szCs w:val="24"/>
              </w:rPr>
              <w:t>世新大學性別研究所教授兼性別平等教育中心主任</w:t>
            </w:r>
          </w:p>
        </w:tc>
      </w:tr>
    </w:tbl>
    <w:p w:rsidR="00360FC5" w:rsidRPr="003524AA" w:rsidRDefault="00360FC5"/>
    <w:sectPr w:rsidR="00360FC5" w:rsidRPr="003524AA" w:rsidSect="003524AA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F" w:rsidRDefault="003302FF" w:rsidP="003524AA">
      <w:r>
        <w:separator/>
      </w:r>
    </w:p>
  </w:endnote>
  <w:endnote w:type="continuationSeparator" w:id="0">
    <w:p w:rsidR="003302FF" w:rsidRDefault="003302FF" w:rsidP="003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79173"/>
      <w:docPartObj>
        <w:docPartGallery w:val="Page Numbers (Bottom of Page)"/>
        <w:docPartUnique/>
      </w:docPartObj>
    </w:sdtPr>
    <w:sdtEndPr/>
    <w:sdtContent>
      <w:p w:rsidR="003524AA" w:rsidRDefault="00352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D0" w:rsidRPr="00B27BD0">
          <w:rPr>
            <w:noProof/>
            <w:lang w:val="zh-TW"/>
          </w:rPr>
          <w:t>2</w:t>
        </w:r>
        <w:r>
          <w:fldChar w:fldCharType="end"/>
        </w:r>
      </w:p>
    </w:sdtContent>
  </w:sdt>
  <w:p w:rsidR="003524AA" w:rsidRDefault="00352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F" w:rsidRDefault="003302FF" w:rsidP="003524AA">
      <w:r>
        <w:separator/>
      </w:r>
    </w:p>
  </w:footnote>
  <w:footnote w:type="continuationSeparator" w:id="0">
    <w:p w:rsidR="003302FF" w:rsidRDefault="003302FF" w:rsidP="003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A"/>
    <w:rsid w:val="003302FF"/>
    <w:rsid w:val="003524AA"/>
    <w:rsid w:val="00360FC5"/>
    <w:rsid w:val="00B27BD0"/>
    <w:rsid w:val="00C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1C7F-1B58-4950-B29B-A141896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4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.laws.fju.edu.tw/teacherContent.aspx?id=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林亮吟</dc:creator>
  <cp:keywords/>
  <dc:description/>
  <cp:lastModifiedBy>林亮吟</cp:lastModifiedBy>
  <cp:revision>3</cp:revision>
  <cp:lastPrinted>2019-02-12T06:54:00Z</cp:lastPrinted>
  <dcterms:created xsi:type="dcterms:W3CDTF">2019-02-12T06:51:00Z</dcterms:created>
  <dcterms:modified xsi:type="dcterms:W3CDTF">2019-02-12T06:55:00Z</dcterms:modified>
</cp:coreProperties>
</file>