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8B124C" w:rsidRDefault="000B7780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B124C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</w:t>
      </w:r>
      <w:r w:rsidR="00C347F5" w:rsidRPr="008B124C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</w:t>
      </w:r>
      <w:r w:rsidRPr="008B124C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347F5" w:rsidRPr="008B124C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7B042C" w:rsidRDefault="00FD401B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0B7780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="000B7780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0B7780">
              <w:rPr>
                <w:rFonts w:ascii="標楷體" w:eastAsia="標楷體" w:hAnsi="標楷體" w:hint="eastAsia"/>
                <w:b/>
                <w:bCs/>
                <w:sz w:val="28"/>
              </w:rPr>
              <w:t>30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上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="00724A79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  <w:r w:rsidR="00056A59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時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7B042C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本部216會議室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7B042C" w:rsidRDefault="00724A79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林主任委員聰明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6837DE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紀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7B042C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林亭希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7B042C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丁志仁、</w:t>
            </w:r>
            <w:r w:rsidR="00724A79" w:rsidRPr="007B042C">
              <w:rPr>
                <w:rFonts w:ascii="標楷體" w:eastAsia="標楷體" w:hAnsi="標楷體" w:hint="eastAsia"/>
                <w:sz w:val="28"/>
              </w:rPr>
              <w:t>謝國清、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吳忠泰、</w:t>
            </w:r>
            <w:r w:rsidR="000B7780">
              <w:rPr>
                <w:rFonts w:ascii="標楷體" w:eastAsia="標楷體" w:hAnsi="標楷體" w:hint="eastAsia"/>
                <w:sz w:val="28"/>
              </w:rPr>
              <w:t>王麗雲</w:t>
            </w:r>
            <w:r w:rsidR="00724A79" w:rsidRPr="007B042C">
              <w:rPr>
                <w:rFonts w:ascii="標楷體" w:eastAsia="標楷體" w:hAnsi="標楷體" w:hint="eastAsia"/>
                <w:sz w:val="28"/>
              </w:rPr>
              <w:t>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張榮輝、胡茹萍、</w:t>
            </w:r>
            <w:r w:rsidR="000B7780">
              <w:rPr>
                <w:rFonts w:ascii="標楷體" w:eastAsia="標楷體" w:hAnsi="標楷體" w:hint="eastAsia"/>
                <w:sz w:val="28"/>
              </w:rPr>
              <w:t>吳琮璠、林麗珊、林思伶、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李國興（</w:t>
            </w:r>
            <w:r w:rsidR="00724A79">
              <w:rPr>
                <w:rFonts w:ascii="標楷體" w:eastAsia="標楷體" w:hAnsi="標楷體" w:hint="eastAsia"/>
                <w:sz w:val="28"/>
              </w:rPr>
              <w:t>鄭淑芳</w:t>
            </w:r>
            <w:r w:rsidR="000B7780">
              <w:rPr>
                <w:rFonts w:ascii="標楷體" w:eastAsia="標楷體" w:hAnsi="標楷體" w:hint="eastAsia"/>
                <w:sz w:val="28"/>
              </w:rPr>
              <w:t>代）、黃子騰（邱乾國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代）、</w:t>
            </w:r>
            <w:r w:rsidR="000B7780">
              <w:rPr>
                <w:rFonts w:ascii="標楷體" w:eastAsia="標楷體" w:hAnsi="標楷體" w:hint="eastAsia"/>
                <w:sz w:val="28"/>
              </w:rPr>
              <w:t>林文通（邱玉蟾代）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、</w:t>
            </w:r>
            <w:r w:rsidR="000B7780">
              <w:rPr>
                <w:rFonts w:ascii="標楷體" w:eastAsia="標楷體" w:hAnsi="標楷體" w:hint="eastAsia"/>
                <w:sz w:val="28"/>
              </w:rPr>
              <w:t>林淑貞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、</w:t>
            </w:r>
            <w:r w:rsidR="000B7780">
              <w:rPr>
                <w:rFonts w:ascii="標楷體" w:eastAsia="標楷體" w:hAnsi="標楷體" w:hint="eastAsia"/>
                <w:sz w:val="28"/>
              </w:rPr>
              <w:t>胡志偉（劉文惠代）、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陳</w:t>
            </w:r>
            <w:r w:rsidR="00786D0A" w:rsidRPr="007B042C">
              <w:rPr>
                <w:rFonts w:ascii="標楷體" w:eastAsia="標楷體" w:hAnsi="標楷體" w:hint="eastAsia"/>
                <w:sz w:val="28"/>
              </w:rPr>
              <w:t>執行秘書</w:t>
            </w:r>
            <w:r w:rsidR="00D5703C">
              <w:rPr>
                <w:rFonts w:ascii="標楷體" w:eastAsia="標楷體" w:hAnsi="標楷體" w:hint="eastAsia"/>
                <w:sz w:val="28"/>
              </w:rPr>
              <w:t>慧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娟</w:t>
            </w:r>
            <w:r w:rsidR="00C765D9">
              <w:rPr>
                <w:rFonts w:ascii="標楷體" w:eastAsia="標楷體" w:hAnsi="標楷體" w:hint="eastAsia"/>
                <w:sz w:val="28"/>
              </w:rPr>
              <w:t>（廖玉燕代）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7B042C" w:rsidRDefault="000B7780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王作臺、張子超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>
                <w:rPr>
                  <w:rFonts w:ascii="標楷體" w:eastAsia="標楷體" w:hAnsi="標楷體" w:hint="eastAsia"/>
                  <w:sz w:val="28"/>
                </w:rPr>
                <w:t>劉姿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君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賴信任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93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彭淑珍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劉智敏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鄭文瑤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苗宗忻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邱乾國、陳淑婷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陳清風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楊修安、洪玉瀞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張立安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傅瑋瑋、林筠宸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蕭文如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林曉</w:t>
            </w:r>
            <w:r w:rsidR="003C0FD8">
              <w:rPr>
                <w:rFonts w:ascii="標楷體" w:eastAsia="標楷體" w:hAnsi="標楷體" w:hint="eastAsia"/>
                <w:sz w:val="28"/>
              </w:rPr>
              <w:t>瑩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5D5B1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莊貴玉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938" w:type="dxa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柯瑛娥、李昕寧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許木進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93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黃佩琦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周倩如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765D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938" w:type="dxa"/>
            <w:vAlign w:val="center"/>
          </w:tcPr>
          <w:p w:rsidR="00C25B83" w:rsidRPr="00724A79" w:rsidRDefault="00C765D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蔡振銘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5D5B1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劉文惠</w:t>
            </w:r>
          </w:p>
        </w:tc>
      </w:tr>
      <w:tr w:rsidR="00AC4174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7B042C" w:rsidRDefault="00C765D9" w:rsidP="00AC4174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文教</w:t>
            </w:r>
            <w:r w:rsidR="00AC4174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處</w:t>
            </w:r>
          </w:p>
        </w:tc>
        <w:tc>
          <w:tcPr>
            <w:tcW w:w="2938" w:type="dxa"/>
            <w:vAlign w:val="center"/>
          </w:tcPr>
          <w:p w:rsidR="00AC4174" w:rsidRPr="007B042C" w:rsidRDefault="00C765D9" w:rsidP="00AC417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金秀明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7B042C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090F" w:rsidRPr="007B042C" w:rsidRDefault="005B090F" w:rsidP="00AC417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6E5DFE" w:rsidRPr="007B042C" w:rsidRDefault="006E5DFE" w:rsidP="009660D7">
      <w:pPr>
        <w:spacing w:line="0" w:lineRule="atLeast"/>
        <w:rPr>
          <w:rFonts w:ascii="標楷體" w:eastAsia="標楷體" w:hAnsi="標楷體" w:hint="eastAsia"/>
          <w:b/>
          <w:bCs/>
          <w:sz w:val="28"/>
        </w:rPr>
      </w:pPr>
    </w:p>
    <w:p w:rsidR="00C347F5" w:rsidRPr="007B042C" w:rsidRDefault="00C347F5" w:rsidP="009660D7">
      <w:pPr>
        <w:spacing w:line="0" w:lineRule="atLeast"/>
        <w:rPr>
          <w:rFonts w:ascii="標楷體" w:eastAsia="標楷體" w:hAnsi="標楷體" w:hint="eastAsia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壹、主席致詞：略</w:t>
      </w:r>
    </w:p>
    <w:p w:rsidR="00C347F5" w:rsidRPr="007B042C" w:rsidRDefault="00C347F5" w:rsidP="009660D7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347F5" w:rsidRPr="007B042C" w:rsidRDefault="00C347F5" w:rsidP="002B0E75">
      <w:pPr>
        <w:spacing w:line="480" w:lineRule="exac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="002F00E3" w:rsidRPr="007B042C">
        <w:rPr>
          <w:rFonts w:ascii="標楷體" w:eastAsia="標楷體" w:hAnsi="標楷體" w:hint="eastAsia"/>
          <w:spacing w:val="-10"/>
          <w:sz w:val="28"/>
        </w:rPr>
        <w:t>100</w:t>
      </w:r>
      <w:r w:rsidRPr="007B042C">
        <w:rPr>
          <w:rFonts w:ascii="標楷體" w:eastAsia="標楷體" w:hAnsi="標楷體"/>
          <w:spacing w:val="-10"/>
          <w:sz w:val="28"/>
        </w:rPr>
        <w:t>年度第</w:t>
      </w:r>
      <w:r w:rsidR="005D5B19">
        <w:rPr>
          <w:rFonts w:ascii="標楷體" w:eastAsia="標楷體" w:hAnsi="標楷體" w:hint="eastAsia"/>
          <w:spacing w:val="-10"/>
          <w:sz w:val="28"/>
        </w:rPr>
        <w:t>3</w:t>
      </w:r>
      <w:r w:rsidRPr="007B042C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FB13DF" w:rsidRDefault="00C347F5" w:rsidP="00FB13DF">
      <w:pPr>
        <w:tabs>
          <w:tab w:val="left" w:pos="960"/>
        </w:tabs>
        <w:spacing w:line="480" w:lineRule="exact"/>
        <w:ind w:leftChars="100" w:left="1293" w:hangingChars="405" w:hanging="1053"/>
        <w:jc w:val="both"/>
        <w:rPr>
          <w:rFonts w:ascii="標楷體" w:eastAsia="標楷體" w:hAnsi="標楷體" w:hint="eastAsia"/>
          <w:spacing w:val="-10"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決</w:t>
      </w:r>
      <w:r w:rsidR="008871AA">
        <w:rPr>
          <w:rFonts w:ascii="標楷體" w:eastAsia="標楷體" w:hAnsi="標楷體" w:hint="eastAsia"/>
          <w:spacing w:val="-10"/>
          <w:sz w:val="28"/>
        </w:rPr>
        <w:t>定</w:t>
      </w:r>
      <w:r w:rsidRPr="007B042C">
        <w:rPr>
          <w:rFonts w:ascii="標楷體" w:eastAsia="標楷體" w:hAnsi="標楷體"/>
          <w:spacing w:val="-10"/>
          <w:sz w:val="28"/>
        </w:rPr>
        <w:t>：</w:t>
      </w:r>
      <w:r w:rsidR="008871AA">
        <w:rPr>
          <w:rFonts w:ascii="標楷體" w:eastAsia="標楷體" w:hAnsi="標楷體" w:hint="eastAsia"/>
          <w:spacing w:val="-10"/>
          <w:sz w:val="28"/>
        </w:rPr>
        <w:t>1.</w:t>
      </w:r>
      <w:r w:rsidR="00D4505C">
        <w:rPr>
          <w:rFonts w:ascii="標楷體" w:eastAsia="標楷體" w:hAnsi="標楷體" w:hint="eastAsia"/>
          <w:spacing w:val="-10"/>
          <w:sz w:val="28"/>
        </w:rPr>
        <w:t>有關</w:t>
      </w:r>
      <w:r w:rsidR="00FB13DF">
        <w:rPr>
          <w:rFonts w:ascii="標楷體" w:eastAsia="標楷體" w:hAnsi="標楷體" w:hint="eastAsia"/>
          <w:spacing w:val="-10"/>
          <w:sz w:val="28"/>
        </w:rPr>
        <w:t>討論事項五決議1</w:t>
      </w:r>
      <w:r w:rsidR="006C10DD">
        <w:rPr>
          <w:rFonts w:ascii="標楷體" w:eastAsia="標楷體" w:hAnsi="標楷體" w:hint="eastAsia"/>
          <w:spacing w:val="-10"/>
          <w:sz w:val="28"/>
        </w:rPr>
        <w:t>，</w:t>
      </w:r>
      <w:r w:rsidR="00FB13DF">
        <w:rPr>
          <w:rFonts w:ascii="標楷體" w:eastAsia="標楷體" w:hAnsi="標楷體" w:hint="eastAsia"/>
          <w:spacing w:val="-10"/>
          <w:sz w:val="28"/>
        </w:rPr>
        <w:t>如何避免各縣市政府透過浮編預算額度爭取補助款後，將執行賸餘補助款滾存地方教育發展基金，請會計處研議相關可行辦法</w:t>
      </w:r>
      <w:r w:rsidR="00950F0D">
        <w:rPr>
          <w:rFonts w:ascii="標楷體" w:eastAsia="標楷體" w:hAnsi="標楷體" w:hint="eastAsia"/>
          <w:spacing w:val="-10"/>
          <w:sz w:val="28"/>
        </w:rPr>
        <w:t>，</w:t>
      </w:r>
      <w:r w:rsidR="00FB13DF">
        <w:rPr>
          <w:rFonts w:ascii="標楷體" w:eastAsia="標楷體" w:hAnsi="標楷體" w:hint="eastAsia"/>
          <w:spacing w:val="-10"/>
          <w:sz w:val="28"/>
        </w:rPr>
        <w:t>於下次教育經費分配審議委員會說明。</w:t>
      </w:r>
    </w:p>
    <w:p w:rsidR="008871AA" w:rsidRPr="005E5E0F" w:rsidRDefault="008871AA" w:rsidP="00235ED3">
      <w:pPr>
        <w:tabs>
          <w:tab w:val="left" w:pos="960"/>
        </w:tabs>
        <w:spacing w:line="480" w:lineRule="exact"/>
        <w:ind w:leftChars="250" w:left="600" w:firstLineChars="150" w:firstLine="39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2.餘洽悉。</w:t>
      </w:r>
    </w:p>
    <w:p w:rsidR="00C347F5" w:rsidRPr="007B042C" w:rsidRDefault="00A42942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</w:t>
      </w:r>
      <w:r w:rsidR="00C347F5" w:rsidRPr="007B042C">
        <w:rPr>
          <w:rFonts w:ascii="標楷體" w:eastAsia="標楷體" w:hAnsi="標楷體" w:hint="eastAsia"/>
          <w:b/>
          <w:bCs/>
          <w:sz w:val="28"/>
        </w:rPr>
        <w:t>事項：</w:t>
      </w:r>
    </w:p>
    <w:p w:rsidR="008533BC" w:rsidRPr="007B042C" w:rsidRDefault="002F00E3" w:rsidP="00715591">
      <w:pPr>
        <w:adjustRightInd w:val="0"/>
        <w:spacing w:line="480" w:lineRule="exact"/>
        <w:ind w:leftChars="100" w:left="738" w:hangingChars="178" w:hanging="498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z w:val="28"/>
        </w:rPr>
        <w:t>一</w:t>
      </w:r>
      <w:r w:rsidR="00715591">
        <w:rPr>
          <w:rFonts w:ascii="標楷體" w:eastAsia="標楷體" w:hAnsi="標楷體" w:hint="eastAsia"/>
          <w:sz w:val="28"/>
        </w:rPr>
        <w:t>、</w:t>
      </w:r>
      <w:r w:rsidR="00C347F5" w:rsidRPr="007B042C">
        <w:rPr>
          <w:rFonts w:ascii="標楷體" w:eastAsia="標楷體" w:hAnsi="標楷體"/>
          <w:sz w:val="28"/>
        </w:rPr>
        <w:t>關於教育部教育經費分配審議委員會</w:t>
      </w:r>
      <w:r w:rsidR="005D5B19">
        <w:rPr>
          <w:rFonts w:ascii="標楷體" w:eastAsia="標楷體" w:hAnsi="標楷體" w:hint="eastAsia"/>
          <w:sz w:val="28"/>
        </w:rPr>
        <w:t>101</w:t>
      </w:r>
      <w:r w:rsidR="00C347F5" w:rsidRPr="007B042C">
        <w:rPr>
          <w:rFonts w:ascii="標楷體" w:eastAsia="標楷體" w:hAnsi="標楷體"/>
          <w:sz w:val="28"/>
        </w:rPr>
        <w:t>年度第</w:t>
      </w:r>
      <w:r w:rsidR="00724A79">
        <w:rPr>
          <w:rFonts w:ascii="標楷體" w:eastAsia="標楷體" w:hAnsi="標楷體" w:hint="eastAsia"/>
          <w:sz w:val="28"/>
        </w:rPr>
        <w:t>1</w:t>
      </w:r>
      <w:r w:rsidR="00C347F5" w:rsidRPr="007B042C">
        <w:rPr>
          <w:rFonts w:ascii="標楷體" w:eastAsia="標楷體" w:hAnsi="標楷體"/>
          <w:sz w:val="28"/>
        </w:rPr>
        <w:t>分組第</w:t>
      </w:r>
      <w:r w:rsidR="005D5B19">
        <w:rPr>
          <w:rFonts w:ascii="標楷體" w:eastAsia="標楷體" w:hAnsi="標楷體" w:hint="eastAsia"/>
          <w:sz w:val="28"/>
        </w:rPr>
        <w:t>1至2</w:t>
      </w:r>
      <w:r w:rsidR="00C347F5" w:rsidRPr="007B042C">
        <w:rPr>
          <w:rFonts w:ascii="標楷體" w:eastAsia="標楷體" w:hAnsi="標楷體" w:hint="eastAsia"/>
          <w:sz w:val="28"/>
        </w:rPr>
        <w:t>次</w:t>
      </w:r>
      <w:r w:rsidR="00C347F5" w:rsidRPr="007B042C">
        <w:rPr>
          <w:rFonts w:ascii="標楷體" w:eastAsia="標楷體" w:hAnsi="標楷體"/>
          <w:sz w:val="28"/>
        </w:rPr>
        <w:t>會議</w:t>
      </w:r>
      <w:r w:rsidR="00C347F5" w:rsidRPr="007B042C">
        <w:rPr>
          <w:rFonts w:ascii="標楷體" w:eastAsia="標楷體" w:hAnsi="標楷體"/>
          <w:sz w:val="28"/>
        </w:rPr>
        <w:lastRenderedPageBreak/>
        <w:t>之會議紀錄，報請鑒察。</w:t>
      </w:r>
    </w:p>
    <w:p w:rsidR="002E4DD1" w:rsidRPr="007B042C" w:rsidRDefault="00C347F5" w:rsidP="002B0E75">
      <w:pPr>
        <w:spacing w:line="480" w:lineRule="exact"/>
        <w:ind w:firstLineChars="100" w:firstLine="26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</w:t>
      </w:r>
      <w:r w:rsidR="002F0D59" w:rsidRPr="007B042C">
        <w:rPr>
          <w:rFonts w:ascii="標楷體" w:eastAsia="標楷體" w:hAnsi="標楷體" w:hint="eastAsia"/>
          <w:spacing w:val="-10"/>
          <w:sz w:val="28"/>
        </w:rPr>
        <w:t>：</w:t>
      </w:r>
      <w:r w:rsidR="002E4DD1">
        <w:rPr>
          <w:rFonts w:ascii="標楷體" w:eastAsia="標楷體" w:hAnsi="標楷體" w:hint="eastAsia"/>
          <w:spacing w:val="-10"/>
          <w:sz w:val="28"/>
        </w:rPr>
        <w:t>同意備查</w:t>
      </w:r>
      <w:r w:rsidR="00AB60DB">
        <w:rPr>
          <w:rFonts w:ascii="標楷體" w:eastAsia="標楷體" w:hAnsi="標楷體" w:hint="eastAsia"/>
          <w:spacing w:val="-10"/>
          <w:sz w:val="28"/>
        </w:rPr>
        <w:t>。</w:t>
      </w:r>
    </w:p>
    <w:p w:rsidR="002B0E75" w:rsidRDefault="002F00E3" w:rsidP="00715591">
      <w:pPr>
        <w:spacing w:line="480" w:lineRule="exact"/>
        <w:ind w:leftChars="100" w:left="738" w:hangingChars="178" w:hanging="498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z w:val="28"/>
        </w:rPr>
        <w:t>二</w:t>
      </w:r>
      <w:r w:rsidR="00C347F5" w:rsidRPr="007B042C">
        <w:rPr>
          <w:rFonts w:ascii="標楷體" w:eastAsia="標楷體" w:hAnsi="標楷體" w:hint="eastAsia"/>
          <w:sz w:val="28"/>
        </w:rPr>
        <w:t>、</w:t>
      </w:r>
      <w:r w:rsidR="00724A79" w:rsidRPr="007B042C">
        <w:rPr>
          <w:rFonts w:ascii="標楷體" w:eastAsia="標楷體" w:hAnsi="標楷體"/>
          <w:sz w:val="28"/>
        </w:rPr>
        <w:t>關於教育部教育經費分配審議委員會</w:t>
      </w:r>
      <w:r w:rsidR="005D5B19">
        <w:rPr>
          <w:rFonts w:ascii="標楷體" w:eastAsia="標楷體" w:hAnsi="標楷體" w:hint="eastAsia"/>
          <w:sz w:val="28"/>
        </w:rPr>
        <w:t>101</w:t>
      </w:r>
      <w:r w:rsidR="00724A79" w:rsidRPr="007B042C">
        <w:rPr>
          <w:rFonts w:ascii="標楷體" w:eastAsia="標楷體" w:hAnsi="標楷體"/>
          <w:sz w:val="28"/>
        </w:rPr>
        <w:t>年度第</w:t>
      </w:r>
      <w:r w:rsidR="00724A79">
        <w:rPr>
          <w:rFonts w:ascii="標楷體" w:eastAsia="標楷體" w:hAnsi="標楷體" w:hint="eastAsia"/>
          <w:sz w:val="28"/>
        </w:rPr>
        <w:t>2</w:t>
      </w:r>
      <w:r w:rsidR="00724A79" w:rsidRPr="007B042C">
        <w:rPr>
          <w:rFonts w:ascii="標楷體" w:eastAsia="標楷體" w:hAnsi="標楷體"/>
          <w:sz w:val="28"/>
        </w:rPr>
        <w:t>分組第</w:t>
      </w:r>
      <w:r w:rsidR="005D5B19">
        <w:rPr>
          <w:rFonts w:ascii="標楷體" w:eastAsia="標楷體" w:hAnsi="標楷體" w:hint="eastAsia"/>
          <w:sz w:val="28"/>
        </w:rPr>
        <w:t>1</w:t>
      </w:r>
      <w:r w:rsidR="00724A79" w:rsidRPr="007B042C">
        <w:rPr>
          <w:rFonts w:ascii="標楷體" w:eastAsia="標楷體" w:hAnsi="標楷體" w:hint="eastAsia"/>
          <w:sz w:val="28"/>
        </w:rPr>
        <w:t>次</w:t>
      </w:r>
      <w:r w:rsidR="00724A79" w:rsidRPr="007B042C">
        <w:rPr>
          <w:rFonts w:ascii="標楷體" w:eastAsia="標楷體" w:hAnsi="標楷體"/>
          <w:sz w:val="28"/>
        </w:rPr>
        <w:t>會議之會</w:t>
      </w:r>
      <w:r w:rsidR="002B0E75">
        <w:rPr>
          <w:rFonts w:ascii="標楷體" w:eastAsia="標楷體" w:hAnsi="標楷體" w:hint="eastAsia"/>
          <w:sz w:val="28"/>
        </w:rPr>
        <w:t xml:space="preserve">      </w:t>
      </w:r>
      <w:r w:rsidR="00724A79" w:rsidRPr="007B042C">
        <w:rPr>
          <w:rFonts w:ascii="標楷體" w:eastAsia="標楷體" w:hAnsi="標楷體"/>
          <w:sz w:val="28"/>
        </w:rPr>
        <w:t>議紀錄，報請鑒察。</w:t>
      </w:r>
    </w:p>
    <w:p w:rsidR="00724A79" w:rsidRPr="007B042C" w:rsidRDefault="00724A79" w:rsidP="002B0E75">
      <w:pPr>
        <w:spacing w:line="480" w:lineRule="exact"/>
        <w:ind w:firstLineChars="100" w:firstLine="26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</w:t>
      </w:r>
      <w:r w:rsidR="00B3537E">
        <w:rPr>
          <w:rFonts w:ascii="標楷體" w:eastAsia="標楷體" w:hAnsi="標楷體" w:hint="eastAsia"/>
          <w:spacing w:val="-10"/>
          <w:sz w:val="28"/>
        </w:rPr>
        <w:t>。</w:t>
      </w:r>
    </w:p>
    <w:p w:rsidR="00715591" w:rsidRDefault="00724A79" w:rsidP="00715591">
      <w:pPr>
        <w:spacing w:line="480" w:lineRule="exact"/>
        <w:ind w:leftChars="100" w:left="738" w:hangingChars="178" w:hanging="49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7B042C">
        <w:rPr>
          <w:rFonts w:ascii="標楷體" w:eastAsia="標楷體" w:hAnsi="標楷體"/>
          <w:sz w:val="28"/>
        </w:rPr>
        <w:t>關於教育部教育經費分配審議委員會</w:t>
      </w:r>
      <w:r w:rsidRPr="007B042C">
        <w:rPr>
          <w:rFonts w:ascii="標楷體" w:eastAsia="標楷體" w:hAnsi="標楷體" w:hint="eastAsia"/>
          <w:sz w:val="28"/>
        </w:rPr>
        <w:t>100</w:t>
      </w:r>
      <w:r w:rsidRPr="007B042C">
        <w:rPr>
          <w:rFonts w:ascii="標楷體" w:eastAsia="標楷體" w:hAnsi="標楷體"/>
          <w:sz w:val="28"/>
        </w:rPr>
        <w:t>年度第</w:t>
      </w:r>
      <w:r w:rsidR="00532E5F">
        <w:rPr>
          <w:rFonts w:ascii="標楷體" w:eastAsia="標楷體" w:hAnsi="標楷體" w:hint="eastAsia"/>
          <w:sz w:val="28"/>
        </w:rPr>
        <w:t>3</w:t>
      </w:r>
      <w:r w:rsidRPr="007B042C">
        <w:rPr>
          <w:rFonts w:ascii="標楷體" w:eastAsia="標楷體" w:hAnsi="標楷體"/>
          <w:sz w:val="28"/>
        </w:rPr>
        <w:t>分組第</w:t>
      </w:r>
      <w:r w:rsidR="005D5B19">
        <w:rPr>
          <w:rFonts w:ascii="標楷體" w:eastAsia="標楷體" w:hAnsi="標楷體" w:hint="eastAsia"/>
          <w:sz w:val="28"/>
        </w:rPr>
        <w:t>3</w:t>
      </w:r>
      <w:r w:rsidR="001F0C57">
        <w:rPr>
          <w:rFonts w:ascii="標楷體" w:eastAsia="標楷體" w:hAnsi="標楷體" w:hint="eastAsia"/>
          <w:sz w:val="28"/>
        </w:rPr>
        <w:t>次</w:t>
      </w:r>
      <w:r w:rsidR="005D5B19">
        <w:rPr>
          <w:rFonts w:ascii="標楷體" w:eastAsia="標楷體" w:hAnsi="標楷體" w:hint="eastAsia"/>
          <w:sz w:val="28"/>
        </w:rPr>
        <w:t>及101年度第1次</w:t>
      </w:r>
      <w:r w:rsidRPr="007B042C">
        <w:rPr>
          <w:rFonts w:ascii="標楷體" w:eastAsia="標楷體" w:hAnsi="標楷體"/>
          <w:sz w:val="28"/>
        </w:rPr>
        <w:t>會議之會議紀錄，報請鑒察。</w:t>
      </w:r>
    </w:p>
    <w:p w:rsidR="001F0C57" w:rsidRPr="00715591" w:rsidRDefault="00724A79" w:rsidP="00715591">
      <w:pPr>
        <w:spacing w:line="480" w:lineRule="exact"/>
        <w:ind w:leftChars="100" w:left="1293" w:hangingChars="405" w:hanging="1053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532E5F" w:rsidRPr="005E5E0F">
        <w:rPr>
          <w:rFonts w:ascii="標楷體" w:eastAsia="標楷體" w:hAnsi="標楷體" w:hint="eastAsia"/>
          <w:spacing w:val="-10"/>
          <w:sz w:val="28"/>
        </w:rPr>
        <w:t>1.</w:t>
      </w:r>
      <w:r w:rsidR="00577AE2">
        <w:rPr>
          <w:rFonts w:ascii="標楷體" w:eastAsia="標楷體" w:hAnsi="標楷體" w:hint="eastAsia"/>
          <w:spacing w:val="-10"/>
          <w:sz w:val="28"/>
        </w:rPr>
        <w:t>鑑於台灣高齡化趨勢日益嚴重，請</w:t>
      </w:r>
      <w:r w:rsidR="007E575C">
        <w:rPr>
          <w:rFonts w:ascii="標楷體" w:eastAsia="標楷體" w:hAnsi="標楷體" w:hint="eastAsia"/>
          <w:spacing w:val="-10"/>
          <w:sz w:val="28"/>
        </w:rPr>
        <w:t>社教司就「如何</w:t>
      </w:r>
      <w:r w:rsidR="003D1DB3">
        <w:rPr>
          <w:rFonts w:ascii="標楷體" w:eastAsia="標楷體" w:hAnsi="標楷體" w:hint="eastAsia"/>
          <w:spacing w:val="-10"/>
          <w:sz w:val="28"/>
        </w:rPr>
        <w:t>整合</w:t>
      </w:r>
      <w:r w:rsidR="007E575C">
        <w:rPr>
          <w:rFonts w:ascii="標楷體" w:eastAsia="標楷體" w:hAnsi="標楷體" w:hint="eastAsia"/>
          <w:spacing w:val="-10"/>
          <w:sz w:val="28"/>
        </w:rPr>
        <w:t>本部各補助計畫樂齡相關教學資源，俾更有效運用資源，活絡樂齡學習社群」提出書面報告</w:t>
      </w:r>
      <w:r w:rsidR="00950F0D">
        <w:rPr>
          <w:rFonts w:ascii="標楷體" w:eastAsia="標楷體" w:hAnsi="標楷體" w:hint="eastAsia"/>
          <w:spacing w:val="-10"/>
          <w:sz w:val="28"/>
        </w:rPr>
        <w:t>，</w:t>
      </w:r>
      <w:r w:rsidR="007E575C">
        <w:rPr>
          <w:rFonts w:ascii="標楷體" w:eastAsia="標楷體" w:hAnsi="標楷體" w:hint="eastAsia"/>
          <w:spacing w:val="-10"/>
          <w:sz w:val="28"/>
        </w:rPr>
        <w:t>於下次教育經費分配審議委員會說明。</w:t>
      </w:r>
    </w:p>
    <w:p w:rsidR="002B0E75" w:rsidRDefault="007E575C" w:rsidP="00715591">
      <w:pPr>
        <w:spacing w:line="480" w:lineRule="exact"/>
        <w:ind w:leftChars="425" w:left="1293" w:hangingChars="105" w:hanging="27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2.鑑於教育人員擅長課程教學不擅長供餐，請體育司</w:t>
      </w:r>
      <w:r w:rsidR="00FA70D1">
        <w:rPr>
          <w:rFonts w:ascii="標楷體" w:eastAsia="標楷體" w:hAnsi="標楷體" w:hint="eastAsia"/>
          <w:spacing w:val="-10"/>
          <w:sz w:val="28"/>
        </w:rPr>
        <w:t>研議</w:t>
      </w:r>
      <w:r>
        <w:rPr>
          <w:rFonts w:ascii="標楷體" w:eastAsia="標楷體" w:hAnsi="標楷體" w:hint="eastAsia"/>
          <w:spacing w:val="-10"/>
          <w:sz w:val="28"/>
        </w:rPr>
        <w:t>調整補助計畫方向，以強化食物檢驗與無毒食材採購。</w:t>
      </w:r>
    </w:p>
    <w:p w:rsidR="003D1DB3" w:rsidRDefault="001F0C57" w:rsidP="003D1DB3">
      <w:pPr>
        <w:spacing w:line="480" w:lineRule="exact"/>
        <w:ind w:leftChars="425" w:left="1293" w:hangingChars="105" w:hanging="27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3.</w:t>
      </w:r>
      <w:r w:rsidR="003D1DB3">
        <w:rPr>
          <w:rFonts w:ascii="標楷體" w:eastAsia="標楷體" w:hAnsi="標楷體" w:hint="eastAsia"/>
          <w:spacing w:val="-10"/>
          <w:sz w:val="28"/>
        </w:rPr>
        <w:t>有關特殊教育部分：</w:t>
      </w:r>
    </w:p>
    <w:p w:rsidR="003D1DB3" w:rsidRDefault="003D1DB3" w:rsidP="00136B08">
      <w:pPr>
        <w:spacing w:line="480" w:lineRule="exact"/>
        <w:ind w:leftChars="425" w:left="1683" w:hangingChars="255" w:hanging="66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（1）</w:t>
      </w:r>
      <w:r w:rsidR="00FA70D1">
        <w:rPr>
          <w:rFonts w:ascii="標楷體" w:eastAsia="標楷體" w:hAnsi="標楷體" w:hint="eastAsia"/>
          <w:spacing w:val="-10"/>
          <w:sz w:val="28"/>
        </w:rPr>
        <w:t>對</w:t>
      </w:r>
      <w:r>
        <w:rPr>
          <w:rFonts w:ascii="標楷體" w:eastAsia="標楷體" w:hAnsi="標楷體" w:hint="eastAsia"/>
          <w:spacing w:val="-10"/>
          <w:sz w:val="28"/>
        </w:rPr>
        <w:t>於</w:t>
      </w:r>
      <w:r w:rsidR="00FA70D1">
        <w:rPr>
          <w:rFonts w:ascii="標楷體" w:eastAsia="標楷體" w:hAnsi="標楷體" w:hint="eastAsia"/>
          <w:spacing w:val="-10"/>
          <w:sz w:val="28"/>
        </w:rPr>
        <w:t>「應安排ㄧ般生教師及家長進修活動放入適宜之特殊教育課程」</w:t>
      </w:r>
      <w:r w:rsidR="00127C3F">
        <w:rPr>
          <w:rFonts w:ascii="標楷體" w:eastAsia="標楷體" w:hAnsi="標楷體" w:hint="eastAsia"/>
          <w:spacing w:val="-10"/>
          <w:sz w:val="28"/>
        </w:rPr>
        <w:t>已</w:t>
      </w:r>
      <w:r w:rsidR="00FA70D1">
        <w:rPr>
          <w:rFonts w:ascii="標楷體" w:eastAsia="標楷體" w:hAnsi="標楷體" w:hint="eastAsia"/>
          <w:spacing w:val="-10"/>
          <w:sz w:val="28"/>
        </w:rPr>
        <w:t>決議</w:t>
      </w:r>
      <w:r w:rsidR="00127C3F">
        <w:rPr>
          <w:rFonts w:ascii="標楷體" w:eastAsia="標楷體" w:hAnsi="標楷體" w:hint="eastAsia"/>
          <w:spacing w:val="-10"/>
          <w:sz w:val="28"/>
        </w:rPr>
        <w:t>推動，請特教小組</w:t>
      </w:r>
      <w:r w:rsidR="00E01032">
        <w:rPr>
          <w:rFonts w:ascii="標楷體" w:eastAsia="標楷體" w:hAnsi="標楷體" w:hint="eastAsia"/>
          <w:spacing w:val="-10"/>
          <w:sz w:val="28"/>
        </w:rPr>
        <w:t>於</w:t>
      </w:r>
      <w:r w:rsidR="00127C3F">
        <w:rPr>
          <w:rFonts w:ascii="標楷體" w:eastAsia="標楷體" w:hAnsi="標楷體" w:hint="eastAsia"/>
          <w:spacing w:val="-10"/>
          <w:sz w:val="28"/>
        </w:rPr>
        <w:t>下次教育經費分配審議委員會大會或分組會議說明</w:t>
      </w:r>
      <w:r w:rsidR="004551C1">
        <w:rPr>
          <w:rFonts w:ascii="標楷體" w:eastAsia="標楷體" w:hAnsi="標楷體" w:hint="eastAsia"/>
          <w:spacing w:val="-10"/>
          <w:sz w:val="28"/>
        </w:rPr>
        <w:t>辦理進度</w:t>
      </w:r>
      <w:r w:rsidR="00127C3F">
        <w:rPr>
          <w:rFonts w:ascii="標楷體" w:eastAsia="標楷體" w:hAnsi="標楷體" w:hint="eastAsia"/>
          <w:spacing w:val="-10"/>
          <w:sz w:val="28"/>
        </w:rPr>
        <w:t>。</w:t>
      </w:r>
    </w:p>
    <w:p w:rsidR="00136B08" w:rsidRDefault="00136B08" w:rsidP="00136B08">
      <w:pPr>
        <w:spacing w:line="480" w:lineRule="exact"/>
        <w:ind w:leftChars="425" w:left="1683" w:hangingChars="255" w:hanging="66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（2）</w:t>
      </w:r>
      <w:r w:rsidR="004551C1">
        <w:rPr>
          <w:rFonts w:ascii="標楷體" w:eastAsia="標楷體" w:hAnsi="標楷體" w:hint="eastAsia"/>
          <w:spacing w:val="-10"/>
          <w:sz w:val="28"/>
        </w:rPr>
        <w:t>「教育部補助直轄市縣（市）政府推動學前及國民教育階段特殊教育工作實施要點」</w:t>
      </w:r>
      <w:r w:rsidR="003D1DB3">
        <w:rPr>
          <w:rFonts w:ascii="標楷體" w:eastAsia="標楷體" w:hAnsi="標楷體" w:hint="eastAsia"/>
          <w:spacing w:val="-10"/>
          <w:sz w:val="28"/>
        </w:rPr>
        <w:t>繼</w:t>
      </w:r>
      <w:r w:rsidR="004551C1">
        <w:rPr>
          <w:rFonts w:ascii="標楷體" w:eastAsia="標楷體" w:hAnsi="標楷體" w:hint="eastAsia"/>
          <w:spacing w:val="-10"/>
          <w:sz w:val="28"/>
        </w:rPr>
        <w:t>續適用案，請提修正案送</w:t>
      </w:r>
      <w:r w:rsidR="00117ABC">
        <w:rPr>
          <w:rFonts w:ascii="標楷體" w:eastAsia="標楷體" w:hAnsi="標楷體" w:hint="eastAsia"/>
          <w:spacing w:val="-10"/>
          <w:sz w:val="28"/>
        </w:rPr>
        <w:t>下次</w:t>
      </w:r>
      <w:r w:rsidR="004551C1">
        <w:rPr>
          <w:rFonts w:ascii="標楷體" w:eastAsia="標楷體" w:hAnsi="標楷體" w:hint="eastAsia"/>
          <w:spacing w:val="-10"/>
          <w:sz w:val="28"/>
        </w:rPr>
        <w:t>委員會</w:t>
      </w:r>
      <w:r>
        <w:rPr>
          <w:rFonts w:ascii="標楷體" w:eastAsia="標楷體" w:hAnsi="標楷體" w:hint="eastAsia"/>
          <w:spacing w:val="-10"/>
          <w:sz w:val="28"/>
        </w:rPr>
        <w:t>第3</w:t>
      </w:r>
      <w:r w:rsidR="004551C1">
        <w:rPr>
          <w:rFonts w:ascii="標楷體" w:eastAsia="標楷體" w:hAnsi="標楷體" w:hint="eastAsia"/>
          <w:spacing w:val="-10"/>
          <w:sz w:val="28"/>
        </w:rPr>
        <w:t>分組審查。</w:t>
      </w:r>
    </w:p>
    <w:p w:rsidR="004551C1" w:rsidRDefault="00136B08" w:rsidP="00136B08">
      <w:pPr>
        <w:spacing w:line="480" w:lineRule="exact"/>
        <w:ind w:leftChars="425" w:left="1683" w:hangingChars="255" w:hanging="66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（3）</w:t>
      </w:r>
      <w:r w:rsidR="004551C1">
        <w:rPr>
          <w:rFonts w:ascii="標楷體" w:eastAsia="標楷體" w:hAnsi="標楷體" w:hint="eastAsia"/>
          <w:spacing w:val="-10"/>
          <w:sz w:val="28"/>
        </w:rPr>
        <w:t>「教育部補助直轄市</w:t>
      </w:r>
      <w:r w:rsidR="00892DDA">
        <w:rPr>
          <w:rFonts w:ascii="標楷體" w:eastAsia="標楷體" w:hAnsi="標楷體" w:hint="eastAsia"/>
          <w:spacing w:val="-10"/>
          <w:sz w:val="28"/>
        </w:rPr>
        <w:t>與</w:t>
      </w:r>
      <w:r w:rsidR="004551C1">
        <w:rPr>
          <w:rFonts w:ascii="標楷體" w:eastAsia="標楷體" w:hAnsi="標楷體" w:hint="eastAsia"/>
          <w:spacing w:val="-10"/>
          <w:sz w:val="28"/>
        </w:rPr>
        <w:t>縣（市）政府所屬特殊教育學校及高中職特教班經費作業原則」繼續適用案，</w:t>
      </w:r>
      <w:r w:rsidR="00BC4F9E">
        <w:rPr>
          <w:rFonts w:ascii="標楷體" w:eastAsia="標楷體" w:hAnsi="標楷體" w:hint="eastAsia"/>
          <w:spacing w:val="-10"/>
          <w:sz w:val="28"/>
        </w:rPr>
        <w:t>同意備查</w:t>
      </w:r>
      <w:r w:rsidR="004551C1">
        <w:rPr>
          <w:rFonts w:ascii="標楷體" w:eastAsia="標楷體" w:hAnsi="標楷體" w:hint="eastAsia"/>
          <w:spacing w:val="-10"/>
          <w:sz w:val="28"/>
        </w:rPr>
        <w:t>。</w:t>
      </w:r>
    </w:p>
    <w:p w:rsidR="00053B5A" w:rsidRPr="001F0C57" w:rsidRDefault="00136B08" w:rsidP="00F454BE">
      <w:pPr>
        <w:spacing w:line="480" w:lineRule="exact"/>
        <w:ind w:leftChars="425" w:left="1293" w:hangingChars="105" w:hanging="27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4</w:t>
      </w:r>
      <w:r w:rsidR="00053B5A">
        <w:rPr>
          <w:rFonts w:ascii="標楷體" w:eastAsia="標楷體" w:hAnsi="標楷體" w:hint="eastAsia"/>
          <w:spacing w:val="-10"/>
          <w:sz w:val="28"/>
        </w:rPr>
        <w:t>.其餘同意備查。</w:t>
      </w:r>
    </w:p>
    <w:p w:rsidR="008533BC" w:rsidRPr="007B042C" w:rsidRDefault="00724A79" w:rsidP="00F454BE">
      <w:pPr>
        <w:spacing w:line="480" w:lineRule="exact"/>
        <w:ind w:leftChars="100" w:left="814" w:hangingChars="205" w:hanging="574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C347F5" w:rsidRPr="007B042C">
        <w:rPr>
          <w:rFonts w:ascii="標楷體" w:eastAsia="標楷體" w:hAnsi="標楷體"/>
          <w:sz w:val="28"/>
        </w:rPr>
        <w:t>教育部</w:t>
      </w:r>
      <w:r w:rsidR="005D5B19">
        <w:rPr>
          <w:rFonts w:ascii="標楷體" w:eastAsia="標楷體" w:hAnsi="標楷體" w:hint="eastAsia"/>
          <w:sz w:val="28"/>
        </w:rPr>
        <w:t>101</w:t>
      </w:r>
      <w:r w:rsidR="00C347F5" w:rsidRPr="007B042C">
        <w:rPr>
          <w:rFonts w:ascii="標楷體" w:eastAsia="標楷體" w:hAnsi="標楷體"/>
          <w:sz w:val="28"/>
        </w:rPr>
        <w:t>年度特定教育補助計畫經費占全部補助金額之比率</w:t>
      </w:r>
      <w:r w:rsidR="005D5B19">
        <w:rPr>
          <w:rFonts w:ascii="標楷體" w:eastAsia="標楷體" w:hAnsi="標楷體" w:hint="eastAsia"/>
          <w:sz w:val="28"/>
        </w:rPr>
        <w:t>情形</w:t>
      </w:r>
      <w:r w:rsidR="00C347F5" w:rsidRPr="007B042C">
        <w:rPr>
          <w:rFonts w:ascii="標楷體" w:eastAsia="標楷體" w:hAnsi="標楷體"/>
          <w:sz w:val="28"/>
        </w:rPr>
        <w:t>(截至</w:t>
      </w:r>
      <w:smartTag w:uri="urn:schemas-microsoft-com:office:smarttags" w:element="chsdate">
        <w:smartTagPr>
          <w:attr w:name="Year" w:val="2012"/>
          <w:attr w:name="Month" w:val="2"/>
          <w:attr w:name="Day" w:val="29"/>
          <w:attr w:name="IsLunarDate" w:val="False"/>
          <w:attr w:name="IsROCDate" w:val="False"/>
        </w:smartTagPr>
        <w:r w:rsidR="005D5B19">
          <w:rPr>
            <w:rFonts w:ascii="標楷體" w:eastAsia="標楷體" w:hAnsi="標楷體" w:hint="eastAsia"/>
            <w:sz w:val="28"/>
          </w:rPr>
          <w:t>2</w:t>
        </w:r>
        <w:r w:rsidR="00C347F5" w:rsidRPr="007B042C">
          <w:rPr>
            <w:rFonts w:ascii="標楷體" w:eastAsia="標楷體" w:hAnsi="標楷體"/>
            <w:sz w:val="28"/>
          </w:rPr>
          <w:t>月</w:t>
        </w:r>
        <w:r w:rsidR="005D5B19">
          <w:rPr>
            <w:rFonts w:ascii="標楷體" w:eastAsia="標楷體" w:hAnsi="標楷體" w:hint="eastAsia"/>
            <w:sz w:val="28"/>
          </w:rPr>
          <w:t>29</w:t>
        </w:r>
        <w:r w:rsidR="00C347F5" w:rsidRPr="007B042C">
          <w:rPr>
            <w:rFonts w:ascii="標楷體" w:eastAsia="標楷體" w:hAnsi="標楷體"/>
            <w:sz w:val="28"/>
          </w:rPr>
          <w:t>日</w:t>
        </w:r>
      </w:smartTag>
      <w:r w:rsidR="00C347F5" w:rsidRPr="007B042C">
        <w:rPr>
          <w:rFonts w:ascii="標楷體" w:eastAsia="標楷體" w:hAnsi="標楷體"/>
          <w:sz w:val="28"/>
        </w:rPr>
        <w:t>止)，報請鑒察。</w:t>
      </w:r>
    </w:p>
    <w:p w:rsidR="00F454BE" w:rsidRDefault="00C347F5" w:rsidP="009577F2">
      <w:pPr>
        <w:spacing w:line="480" w:lineRule="exact"/>
        <w:ind w:leftChars="100" w:left="1280" w:hangingChars="400" w:hanging="1040"/>
        <w:jc w:val="both"/>
        <w:rPr>
          <w:rFonts w:ascii="標楷體" w:eastAsia="標楷體" w:hAnsi="標楷體" w:hint="eastAsia"/>
          <w:sz w:val="28"/>
          <w:szCs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</w:t>
      </w:r>
      <w:r w:rsidR="002F0D59" w:rsidRPr="005F22AC">
        <w:rPr>
          <w:rFonts w:ascii="標楷體" w:eastAsia="標楷體" w:hAnsi="標楷體" w:hint="eastAsia"/>
          <w:spacing w:val="-10"/>
          <w:sz w:val="28"/>
        </w:rPr>
        <w:t>：</w:t>
      </w:r>
      <w:r w:rsidR="009577F2">
        <w:rPr>
          <w:rFonts w:ascii="標楷體" w:eastAsia="標楷體" w:hAnsi="標楷體" w:hint="eastAsia"/>
          <w:spacing w:val="-10"/>
          <w:sz w:val="28"/>
        </w:rPr>
        <w:t>1.</w:t>
      </w:r>
      <w:r w:rsidR="006A5A36" w:rsidRPr="00B07EF2">
        <w:rPr>
          <w:rFonts w:ascii="標楷體" w:eastAsia="標楷體" w:hAnsi="標楷體" w:hint="eastAsia"/>
          <w:sz w:val="28"/>
          <w:szCs w:val="28"/>
        </w:rPr>
        <w:t>請各單位就所主管各項補助計畫，持續</w:t>
      </w:r>
      <w:r w:rsidR="006A5A36">
        <w:rPr>
          <w:rFonts w:ascii="標楷體" w:eastAsia="標楷體" w:hAnsi="標楷體" w:hint="eastAsia"/>
          <w:sz w:val="28"/>
          <w:szCs w:val="28"/>
        </w:rPr>
        <w:t>掌握時效、積極</w:t>
      </w:r>
      <w:r w:rsidR="006A5A36" w:rsidRPr="00B07EF2">
        <w:rPr>
          <w:rFonts w:ascii="標楷體" w:eastAsia="標楷體" w:hAnsi="標楷體" w:hint="eastAsia"/>
          <w:sz w:val="28"/>
          <w:szCs w:val="28"/>
        </w:rPr>
        <w:t>辦理計畫審查</w:t>
      </w:r>
      <w:r w:rsidR="006A5A36">
        <w:rPr>
          <w:rFonts w:ascii="標楷體" w:eastAsia="標楷體" w:hAnsi="標楷體" w:hint="eastAsia"/>
          <w:sz w:val="28"/>
          <w:szCs w:val="28"/>
        </w:rPr>
        <w:t>與</w:t>
      </w:r>
      <w:r w:rsidR="006A5A36" w:rsidRPr="00B07EF2">
        <w:rPr>
          <w:rFonts w:ascii="標楷體" w:eastAsia="標楷體" w:hAnsi="標楷體" w:hint="eastAsia"/>
          <w:sz w:val="28"/>
          <w:szCs w:val="28"/>
        </w:rPr>
        <w:t>撥</w:t>
      </w:r>
      <w:r w:rsidR="006A5A36">
        <w:rPr>
          <w:rFonts w:ascii="標楷體" w:eastAsia="標楷體" w:hAnsi="標楷體" w:hint="eastAsia"/>
          <w:sz w:val="28"/>
          <w:szCs w:val="28"/>
        </w:rPr>
        <w:t>款等各項作業，</w:t>
      </w:r>
      <w:r w:rsidR="006A5A36" w:rsidRPr="00B07EF2">
        <w:rPr>
          <w:rFonts w:ascii="標楷體" w:eastAsia="標楷體" w:hAnsi="標楷體" w:hint="eastAsia"/>
          <w:sz w:val="28"/>
          <w:szCs w:val="28"/>
        </w:rPr>
        <w:t>俾</w:t>
      </w:r>
      <w:r w:rsidR="006A5A36">
        <w:rPr>
          <w:rFonts w:ascii="標楷體" w:eastAsia="標楷體" w:hAnsi="標楷體" w:hint="eastAsia"/>
          <w:sz w:val="28"/>
          <w:szCs w:val="28"/>
        </w:rPr>
        <w:t>利受補助單位有充足的執行期間，以</w:t>
      </w:r>
      <w:r w:rsidR="006A5A36" w:rsidRPr="00B07EF2">
        <w:rPr>
          <w:rFonts w:ascii="標楷體" w:eastAsia="標楷體" w:hAnsi="標楷體" w:hint="eastAsia"/>
          <w:sz w:val="28"/>
          <w:szCs w:val="28"/>
        </w:rPr>
        <w:t>提升經費使用效益。</w:t>
      </w:r>
    </w:p>
    <w:p w:rsidR="009577F2" w:rsidRDefault="009577F2" w:rsidP="009577F2">
      <w:pPr>
        <w:spacing w:line="480" w:lineRule="exact"/>
        <w:ind w:leftChars="450" w:left="13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2.其餘同意備查。</w:t>
      </w:r>
    </w:p>
    <w:p w:rsidR="00C347F5" w:rsidRPr="00F454BE" w:rsidRDefault="00724A79" w:rsidP="00F454BE">
      <w:pPr>
        <w:spacing w:line="480" w:lineRule="exac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5F22AC">
        <w:rPr>
          <w:rFonts w:ascii="標楷體" w:eastAsia="標楷體" w:hAnsi="標楷體" w:hint="eastAsia"/>
          <w:sz w:val="28"/>
        </w:rPr>
        <w:t>五</w:t>
      </w:r>
      <w:r w:rsidR="00C347F5" w:rsidRPr="005F22AC">
        <w:rPr>
          <w:rFonts w:ascii="標楷體" w:eastAsia="標楷體" w:hAnsi="標楷體" w:hint="eastAsia"/>
          <w:sz w:val="28"/>
        </w:rPr>
        <w:t>、</w:t>
      </w:r>
      <w:r w:rsidR="00C347F5" w:rsidRPr="005F22AC">
        <w:rPr>
          <w:rFonts w:ascii="標楷體" w:eastAsia="標楷體" w:hAnsi="標楷體"/>
          <w:sz w:val="28"/>
        </w:rPr>
        <w:t>教育部</w:t>
      </w:r>
      <w:r w:rsidR="005D5B19">
        <w:rPr>
          <w:rFonts w:ascii="標楷體" w:eastAsia="標楷體" w:hAnsi="標楷體" w:hint="eastAsia"/>
          <w:sz w:val="28"/>
        </w:rPr>
        <w:t>101</w:t>
      </w:r>
      <w:r w:rsidR="00C347F5" w:rsidRPr="005F22AC">
        <w:rPr>
          <w:rFonts w:ascii="標楷體" w:eastAsia="標楷體" w:hAnsi="標楷體"/>
          <w:sz w:val="28"/>
        </w:rPr>
        <w:t>年度特定教育補助經費送審議委員會備查表，報請鑒察。</w:t>
      </w:r>
    </w:p>
    <w:p w:rsidR="0040673F" w:rsidRDefault="00C347F5" w:rsidP="00F454BE">
      <w:pPr>
        <w:spacing w:line="480" w:lineRule="exact"/>
        <w:ind w:leftChars="100" w:left="2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決議：</w:t>
      </w:r>
      <w:r w:rsidR="00296B34">
        <w:rPr>
          <w:rFonts w:ascii="標楷體" w:eastAsia="標楷體" w:hAnsi="標楷體" w:hint="eastAsia"/>
          <w:spacing w:val="-10"/>
          <w:sz w:val="28"/>
        </w:rPr>
        <w:t>1.</w:t>
      </w:r>
      <w:r w:rsidR="0040673F">
        <w:rPr>
          <w:rFonts w:ascii="標楷體" w:eastAsia="標楷體" w:hAnsi="標楷體" w:hint="eastAsia"/>
          <w:spacing w:val="-10"/>
          <w:sz w:val="28"/>
        </w:rPr>
        <w:t>體育司所提「補助臺南市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0673F">
          <w:rPr>
            <w:rFonts w:ascii="標楷體" w:eastAsia="標楷體" w:hAnsi="標楷體" w:hint="eastAsia"/>
            <w:spacing w:val="-10"/>
            <w:sz w:val="28"/>
          </w:rPr>
          <w:t>五甲</w:t>
        </w:r>
      </w:smartTag>
      <w:r w:rsidR="0040673F">
        <w:rPr>
          <w:rFonts w:ascii="標楷體" w:eastAsia="標楷體" w:hAnsi="標楷體" w:hint="eastAsia"/>
          <w:spacing w:val="-10"/>
          <w:sz w:val="28"/>
        </w:rPr>
        <w:t>國民小學綜合球場整建」及「南投水里國</w:t>
      </w:r>
    </w:p>
    <w:p w:rsidR="009E106C" w:rsidRDefault="0040673F" w:rsidP="00AC7EDC">
      <w:pPr>
        <w:spacing w:line="480" w:lineRule="exact"/>
        <w:ind w:leftChars="100" w:left="240" w:firstLineChars="405" w:firstLine="1053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中跑道及球場整建」</w:t>
      </w:r>
      <w:r w:rsidR="00F87C76">
        <w:rPr>
          <w:rFonts w:ascii="標楷體" w:eastAsia="標楷體" w:hAnsi="標楷體" w:hint="eastAsia"/>
          <w:spacing w:val="-10"/>
          <w:sz w:val="28"/>
        </w:rPr>
        <w:t>為同一計畫，</w:t>
      </w:r>
      <w:r w:rsidR="00AC7EDC">
        <w:rPr>
          <w:rFonts w:ascii="標楷體" w:eastAsia="標楷體" w:hAnsi="標楷體" w:hint="eastAsia"/>
          <w:spacing w:val="-10"/>
          <w:sz w:val="28"/>
        </w:rPr>
        <w:t>應先整併再</w:t>
      </w:r>
      <w:r>
        <w:rPr>
          <w:rFonts w:ascii="標楷體" w:eastAsia="標楷體" w:hAnsi="標楷體" w:hint="eastAsia"/>
          <w:spacing w:val="-10"/>
          <w:sz w:val="28"/>
        </w:rPr>
        <w:t>提報審議委員會</w:t>
      </w:r>
      <w:r w:rsidR="00AC7EDC">
        <w:rPr>
          <w:rFonts w:ascii="標楷體" w:eastAsia="標楷體" w:hAnsi="標楷體" w:hint="eastAsia"/>
          <w:spacing w:val="-10"/>
          <w:sz w:val="28"/>
        </w:rPr>
        <w:t>備</w:t>
      </w:r>
      <w:r w:rsidR="009E106C">
        <w:rPr>
          <w:rFonts w:ascii="標楷體" w:eastAsia="標楷體" w:hAnsi="標楷體" w:hint="eastAsia"/>
          <w:spacing w:val="-10"/>
          <w:sz w:val="28"/>
        </w:rPr>
        <w:t>查。</w:t>
      </w:r>
    </w:p>
    <w:p w:rsidR="00C347F5" w:rsidRPr="005F22AC" w:rsidRDefault="00296B34" w:rsidP="00F454BE">
      <w:pPr>
        <w:spacing w:line="480" w:lineRule="exact"/>
        <w:ind w:leftChars="430" w:left="1032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lastRenderedPageBreak/>
        <w:t>2.</w:t>
      </w:r>
      <w:r w:rsidRPr="005F22AC">
        <w:rPr>
          <w:rFonts w:ascii="標楷體" w:eastAsia="標楷體" w:hAnsi="標楷體" w:hint="eastAsia"/>
          <w:spacing w:val="-10"/>
          <w:sz w:val="28"/>
        </w:rPr>
        <w:t>其餘同意備查。</w:t>
      </w:r>
    </w:p>
    <w:p w:rsidR="00C347F5" w:rsidRPr="005F22AC" w:rsidRDefault="00C347F5" w:rsidP="00815CC0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 w:rsidRPr="005F22AC">
        <w:rPr>
          <w:rFonts w:ascii="標楷體" w:eastAsia="標楷體" w:hAnsi="標楷體" w:hint="eastAsia"/>
          <w:b/>
          <w:bCs/>
          <w:sz w:val="28"/>
        </w:rPr>
        <w:t>肆、臨時</w:t>
      </w:r>
      <w:r w:rsidR="007048F5" w:rsidRPr="005F22AC">
        <w:rPr>
          <w:rFonts w:ascii="標楷體" w:eastAsia="標楷體" w:hAnsi="標楷體" w:hint="eastAsia"/>
          <w:b/>
          <w:bCs/>
          <w:sz w:val="28"/>
        </w:rPr>
        <w:t>動議</w:t>
      </w:r>
      <w:r w:rsidRPr="005F22AC">
        <w:rPr>
          <w:rFonts w:ascii="標楷體" w:eastAsia="標楷體" w:hAnsi="標楷體" w:hint="eastAsia"/>
          <w:b/>
          <w:bCs/>
          <w:sz w:val="28"/>
        </w:rPr>
        <w:t>：</w:t>
      </w:r>
    </w:p>
    <w:p w:rsidR="009A7CC8" w:rsidRPr="005F22AC" w:rsidRDefault="009C1211" w:rsidP="00F454BE">
      <w:pPr>
        <w:spacing w:line="480" w:lineRule="exact"/>
        <w:ind w:leftChars="100" w:left="786" w:hangingChars="195" w:hanging="54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ㄧ、</w:t>
      </w:r>
      <w:r w:rsidR="0083725E">
        <w:rPr>
          <w:rFonts w:ascii="標楷體" w:eastAsia="標楷體" w:hAnsi="標楷體" w:hint="eastAsia"/>
          <w:sz w:val="28"/>
        </w:rPr>
        <w:t>面對</w:t>
      </w:r>
      <w:r w:rsidR="00136B08">
        <w:rPr>
          <w:rFonts w:ascii="標楷體" w:eastAsia="標楷體" w:hAnsi="標楷體" w:hint="eastAsia"/>
          <w:sz w:val="28"/>
        </w:rPr>
        <w:t>人口</w:t>
      </w:r>
      <w:r w:rsidR="0083725E">
        <w:rPr>
          <w:rFonts w:ascii="標楷體" w:eastAsia="標楷體" w:hAnsi="標楷體" w:hint="eastAsia"/>
          <w:sz w:val="28"/>
        </w:rPr>
        <w:t>高齡化來臨，請社教司研議長遠方向，</w:t>
      </w:r>
      <w:r w:rsidR="008E6927">
        <w:rPr>
          <w:rFonts w:ascii="標楷體" w:eastAsia="標楷體" w:hAnsi="標楷體" w:hint="eastAsia"/>
          <w:sz w:val="28"/>
        </w:rPr>
        <w:t>包括課程師資培訓及學校空間有效利用等軟硬體資源，充分整合運用，以活絡樂齡學習</w:t>
      </w:r>
      <w:r w:rsidR="009A7CC8" w:rsidRPr="005F22AC">
        <w:rPr>
          <w:rFonts w:ascii="標楷體" w:eastAsia="標楷體" w:hAnsi="標楷體" w:hint="eastAsia"/>
          <w:sz w:val="28"/>
        </w:rPr>
        <w:t>。</w:t>
      </w:r>
    </w:p>
    <w:p w:rsidR="00F545A9" w:rsidRPr="00F454BE" w:rsidRDefault="009A7CC8" w:rsidP="00F454BE">
      <w:pPr>
        <w:spacing w:line="48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決議：</w:t>
      </w:r>
      <w:r w:rsidR="00A92AE4">
        <w:rPr>
          <w:rFonts w:ascii="標楷體" w:eastAsia="標楷體" w:hAnsi="標楷體" w:hint="eastAsia"/>
          <w:sz w:val="28"/>
        </w:rPr>
        <w:t>請社教司調查閒置校舍情況，</w:t>
      </w:r>
      <w:r w:rsidR="008E6927">
        <w:rPr>
          <w:rFonts w:ascii="標楷體" w:eastAsia="標楷體" w:hAnsi="標楷體" w:hint="eastAsia"/>
          <w:sz w:val="28"/>
        </w:rPr>
        <w:t>以及</w:t>
      </w:r>
      <w:r w:rsidR="0083725E">
        <w:rPr>
          <w:rFonts w:ascii="標楷體" w:eastAsia="標楷體" w:hAnsi="標楷體" w:hint="eastAsia"/>
          <w:sz w:val="28"/>
        </w:rPr>
        <w:t>考量如何與社區結合</w:t>
      </w:r>
      <w:r w:rsidR="008E6927">
        <w:rPr>
          <w:rFonts w:ascii="標楷體" w:eastAsia="標楷體" w:hAnsi="標楷體" w:hint="eastAsia"/>
          <w:sz w:val="28"/>
        </w:rPr>
        <w:t>，</w:t>
      </w:r>
      <w:r w:rsidR="000E0CEF">
        <w:rPr>
          <w:rFonts w:ascii="標楷體" w:eastAsia="標楷體" w:hAnsi="標楷體" w:hint="eastAsia"/>
          <w:sz w:val="28"/>
        </w:rPr>
        <w:t>並針對</w:t>
      </w:r>
      <w:r w:rsidR="00E90800">
        <w:rPr>
          <w:rFonts w:ascii="標楷體" w:eastAsia="標楷體" w:hAnsi="標楷體" w:hint="eastAsia"/>
          <w:sz w:val="28"/>
        </w:rPr>
        <w:t>樂齡學習相關議題</w:t>
      </w:r>
      <w:r w:rsidR="000E0CEF">
        <w:rPr>
          <w:rFonts w:ascii="標楷體" w:eastAsia="標楷體" w:hAnsi="標楷體" w:hint="eastAsia"/>
          <w:sz w:val="28"/>
        </w:rPr>
        <w:t>提出</w:t>
      </w:r>
      <w:r w:rsidR="008E6927">
        <w:rPr>
          <w:rFonts w:ascii="標楷體" w:eastAsia="標楷體" w:hAnsi="標楷體" w:hint="eastAsia"/>
          <w:sz w:val="28"/>
        </w:rPr>
        <w:t>整體規劃</w:t>
      </w:r>
      <w:r w:rsidR="000E0CEF">
        <w:rPr>
          <w:rFonts w:ascii="標楷體" w:eastAsia="標楷體" w:hAnsi="標楷體" w:hint="eastAsia"/>
          <w:sz w:val="28"/>
        </w:rPr>
        <w:t>報告</w:t>
      </w:r>
      <w:r w:rsidR="00950F0D">
        <w:rPr>
          <w:rFonts w:ascii="標楷體" w:eastAsia="標楷體" w:hAnsi="標楷體" w:hint="eastAsia"/>
          <w:sz w:val="28"/>
        </w:rPr>
        <w:t>，</w:t>
      </w:r>
      <w:r w:rsidR="009119EF">
        <w:rPr>
          <w:rFonts w:ascii="標楷體" w:eastAsia="標楷體" w:hAnsi="標楷體" w:hint="eastAsia"/>
          <w:sz w:val="28"/>
        </w:rPr>
        <w:t>於</w:t>
      </w:r>
      <w:r w:rsidR="000E0CEF">
        <w:rPr>
          <w:rFonts w:ascii="標楷體" w:eastAsia="標楷體" w:hAnsi="標楷體" w:hint="eastAsia"/>
          <w:spacing w:val="-10"/>
          <w:sz w:val="28"/>
        </w:rPr>
        <w:t>下次教育經費分配審議委員會說明</w:t>
      </w:r>
      <w:r w:rsidR="0083725E">
        <w:rPr>
          <w:rFonts w:ascii="標楷體" w:eastAsia="標楷體" w:hAnsi="標楷體" w:hint="eastAsia"/>
          <w:sz w:val="28"/>
        </w:rPr>
        <w:t>。</w:t>
      </w:r>
    </w:p>
    <w:p w:rsidR="00BD7AC3" w:rsidRPr="00F545A9" w:rsidRDefault="000E0CEF" w:rsidP="00F454BE">
      <w:pPr>
        <w:spacing w:line="480" w:lineRule="exact"/>
        <w:ind w:leftChars="100" w:left="786" w:hangingChars="195" w:hanging="546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8E6927">
        <w:rPr>
          <w:rFonts w:ascii="標楷體" w:eastAsia="標楷體" w:hAnsi="標楷體" w:hint="eastAsia"/>
          <w:sz w:val="28"/>
        </w:rPr>
        <w:t>有關</w:t>
      </w:r>
      <w:r w:rsidR="002102EE">
        <w:rPr>
          <w:rFonts w:ascii="標楷體" w:eastAsia="標楷體" w:hAnsi="標楷體" w:hint="eastAsia"/>
          <w:sz w:val="28"/>
        </w:rPr>
        <w:t>事後備查事項「補助地方政府落實地方教育發展基金成</w:t>
      </w:r>
      <w:r w:rsidR="00715591">
        <w:rPr>
          <w:rFonts w:ascii="標楷體" w:eastAsia="標楷體" w:hAnsi="標楷體" w:hint="eastAsia"/>
          <w:sz w:val="28"/>
        </w:rPr>
        <w:t>立</w:t>
      </w:r>
      <w:r w:rsidR="002102EE">
        <w:rPr>
          <w:rFonts w:ascii="標楷體" w:eastAsia="標楷體" w:hAnsi="標楷體" w:hint="eastAsia"/>
          <w:sz w:val="28"/>
        </w:rPr>
        <w:t>附屬單位預算之開辦費及獎勵金等」之</w:t>
      </w:r>
      <w:r w:rsidR="008E6927">
        <w:rPr>
          <w:rFonts w:ascii="標楷體" w:eastAsia="標楷體" w:hAnsi="標楷體" w:hint="eastAsia"/>
          <w:sz w:val="28"/>
        </w:rPr>
        <w:t>補助情形</w:t>
      </w:r>
      <w:r w:rsidR="00A92AE4">
        <w:rPr>
          <w:rFonts w:ascii="標楷體" w:eastAsia="標楷體" w:hAnsi="標楷體" w:hint="eastAsia"/>
          <w:sz w:val="28"/>
        </w:rPr>
        <w:t>。</w:t>
      </w:r>
      <w:r w:rsidR="00A41274">
        <w:rPr>
          <w:rFonts w:ascii="標楷體" w:eastAsia="標楷體" w:hAnsi="標楷體" w:hint="eastAsia"/>
          <w:sz w:val="28"/>
        </w:rPr>
        <w:t xml:space="preserve"> </w:t>
      </w:r>
    </w:p>
    <w:p w:rsidR="00F4182F" w:rsidRPr="002102EE" w:rsidRDefault="00F4182F" w:rsidP="00F454BE">
      <w:pPr>
        <w:spacing w:line="48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決議：</w:t>
      </w:r>
      <w:r w:rsidR="00A41274">
        <w:rPr>
          <w:rFonts w:ascii="標楷體" w:eastAsia="標楷體" w:hAnsi="標楷體" w:hint="eastAsia"/>
          <w:sz w:val="28"/>
        </w:rPr>
        <w:t>請會計處就各直轄市、縣（市）政府地方教育發展基金目前</w:t>
      </w:r>
      <w:r w:rsidR="00903B46">
        <w:rPr>
          <w:rFonts w:ascii="標楷體" w:eastAsia="標楷體" w:hAnsi="標楷體" w:hint="eastAsia"/>
          <w:sz w:val="28"/>
        </w:rPr>
        <w:t>運作</w:t>
      </w:r>
      <w:r w:rsidR="00A41274">
        <w:rPr>
          <w:rFonts w:ascii="標楷體" w:eastAsia="標楷體" w:hAnsi="標楷體" w:hint="eastAsia"/>
          <w:sz w:val="28"/>
        </w:rPr>
        <w:t>狀況</w:t>
      </w:r>
      <w:r w:rsidR="004372A6">
        <w:rPr>
          <w:rFonts w:ascii="標楷體" w:eastAsia="標楷體" w:hAnsi="標楷體" w:hint="eastAsia"/>
          <w:sz w:val="28"/>
        </w:rPr>
        <w:t>提出</w:t>
      </w:r>
      <w:r w:rsidR="00A41274">
        <w:rPr>
          <w:rFonts w:ascii="標楷體" w:eastAsia="標楷體" w:hAnsi="標楷體" w:hint="eastAsia"/>
          <w:sz w:val="28"/>
        </w:rPr>
        <w:t>報告</w:t>
      </w:r>
      <w:r w:rsidR="00950F0D">
        <w:rPr>
          <w:rFonts w:ascii="標楷體" w:eastAsia="標楷體" w:hAnsi="標楷體" w:hint="eastAsia"/>
          <w:sz w:val="28"/>
        </w:rPr>
        <w:t>，</w:t>
      </w:r>
      <w:r w:rsidR="004372A6">
        <w:rPr>
          <w:rFonts w:ascii="標楷體" w:eastAsia="標楷體" w:hAnsi="標楷體" w:hint="eastAsia"/>
          <w:spacing w:val="-10"/>
          <w:sz w:val="28"/>
        </w:rPr>
        <w:t>於下次教育經費分配審議委員會說明</w:t>
      </w:r>
      <w:r w:rsidR="00A41274">
        <w:rPr>
          <w:rFonts w:ascii="標楷體" w:eastAsia="標楷體" w:hAnsi="標楷體" w:hint="eastAsia"/>
          <w:sz w:val="28"/>
        </w:rPr>
        <w:t>。</w:t>
      </w:r>
    </w:p>
    <w:p w:rsidR="00C347F5" w:rsidRPr="005F22AC" w:rsidRDefault="00764619">
      <w:pPr>
        <w:pStyle w:val="a3"/>
        <w:spacing w:beforeLines="50" w:before="180"/>
        <w:ind w:leftChars="0" w:left="0" w:firstLineChars="0" w:firstLine="0"/>
        <w:rPr>
          <w:rFonts w:hint="eastAsia"/>
        </w:rPr>
      </w:pPr>
      <w:r w:rsidRPr="005F22AC">
        <w:rPr>
          <w:rFonts w:hint="eastAsia"/>
          <w:b/>
          <w:bCs/>
        </w:rPr>
        <w:t>伍</w:t>
      </w:r>
      <w:r w:rsidR="00C347F5" w:rsidRPr="005F22AC">
        <w:rPr>
          <w:rFonts w:hint="eastAsia"/>
          <w:b/>
          <w:bCs/>
        </w:rPr>
        <w:t>、散會：</w:t>
      </w:r>
      <w:r w:rsidR="00E81D0C" w:rsidRPr="005F22AC">
        <w:rPr>
          <w:rFonts w:hint="eastAsia"/>
          <w:b/>
          <w:bCs/>
        </w:rPr>
        <w:t>(</w:t>
      </w:r>
      <w:r w:rsidR="00DC1572" w:rsidRPr="005F22AC">
        <w:rPr>
          <w:rFonts w:hint="eastAsia"/>
        </w:rPr>
        <w:t>上</w:t>
      </w:r>
      <w:r w:rsidR="00C347F5" w:rsidRPr="005F22AC">
        <w:rPr>
          <w:rFonts w:hint="eastAsia"/>
        </w:rPr>
        <w:t>午</w:t>
      </w:r>
      <w:r w:rsidR="005D5B19">
        <w:rPr>
          <w:rFonts w:hint="eastAsia"/>
        </w:rPr>
        <w:t>10</w:t>
      </w:r>
      <w:r w:rsidR="00C347F5" w:rsidRPr="005F22AC">
        <w:rPr>
          <w:rFonts w:hint="eastAsia"/>
        </w:rPr>
        <w:t>時</w:t>
      </w:r>
      <w:r w:rsidR="005D5B19">
        <w:rPr>
          <w:rFonts w:hint="eastAsia"/>
        </w:rPr>
        <w:t>30</w:t>
      </w:r>
      <w:r w:rsidR="00BD7AC3" w:rsidRPr="005F22AC">
        <w:rPr>
          <w:rFonts w:hint="eastAsia"/>
        </w:rPr>
        <w:t>分</w:t>
      </w:r>
      <w:r w:rsidR="00E81D0C" w:rsidRPr="005F22AC">
        <w:rPr>
          <w:rFonts w:hint="eastAsia"/>
        </w:rPr>
        <w:t>)</w:t>
      </w:r>
    </w:p>
    <w:sectPr w:rsidR="00C347F5" w:rsidRPr="005F22AC" w:rsidSect="008F3498">
      <w:footerReference w:type="default" r:id="rId6"/>
      <w:pgSz w:w="11906" w:h="16838"/>
      <w:pgMar w:top="90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EC" w:rsidRDefault="00333EEC">
      <w:r>
        <w:separator/>
      </w:r>
    </w:p>
  </w:endnote>
  <w:endnote w:type="continuationSeparator" w:id="0">
    <w:p w:rsidR="00333EEC" w:rsidRDefault="0033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DD" w:rsidRDefault="006C10DD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B124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EC" w:rsidRDefault="00333EEC">
      <w:r>
        <w:separator/>
      </w:r>
    </w:p>
  </w:footnote>
  <w:footnote w:type="continuationSeparator" w:id="0">
    <w:p w:rsidR="00333EEC" w:rsidRDefault="0033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00059"/>
    <w:rsid w:val="00007139"/>
    <w:rsid w:val="0002067F"/>
    <w:rsid w:val="00053B5A"/>
    <w:rsid w:val="00056A59"/>
    <w:rsid w:val="00073F56"/>
    <w:rsid w:val="000B7780"/>
    <w:rsid w:val="000C5C07"/>
    <w:rsid w:val="000D0C0D"/>
    <w:rsid w:val="000E0CEF"/>
    <w:rsid w:val="000E37DA"/>
    <w:rsid w:val="000E3C37"/>
    <w:rsid w:val="000E3FA6"/>
    <w:rsid w:val="000F14EB"/>
    <w:rsid w:val="00115DCF"/>
    <w:rsid w:val="00117ABC"/>
    <w:rsid w:val="00127C3F"/>
    <w:rsid w:val="00136B08"/>
    <w:rsid w:val="001547C0"/>
    <w:rsid w:val="00183731"/>
    <w:rsid w:val="00193DFF"/>
    <w:rsid w:val="00195173"/>
    <w:rsid w:val="001B21AD"/>
    <w:rsid w:val="001D5386"/>
    <w:rsid w:val="001F0C57"/>
    <w:rsid w:val="002102EE"/>
    <w:rsid w:val="00210934"/>
    <w:rsid w:val="00212D0D"/>
    <w:rsid w:val="00216B7E"/>
    <w:rsid w:val="00226DFE"/>
    <w:rsid w:val="002342AD"/>
    <w:rsid w:val="00235ED3"/>
    <w:rsid w:val="00236270"/>
    <w:rsid w:val="002409AF"/>
    <w:rsid w:val="002917DC"/>
    <w:rsid w:val="00296B34"/>
    <w:rsid w:val="002B0E75"/>
    <w:rsid w:val="002B38C9"/>
    <w:rsid w:val="002C3F87"/>
    <w:rsid w:val="002E253D"/>
    <w:rsid w:val="002E4DD1"/>
    <w:rsid w:val="002E508B"/>
    <w:rsid w:val="002F00E3"/>
    <w:rsid w:val="002F0D59"/>
    <w:rsid w:val="002F4EFF"/>
    <w:rsid w:val="00333EEC"/>
    <w:rsid w:val="003652E4"/>
    <w:rsid w:val="00383DBE"/>
    <w:rsid w:val="003877F0"/>
    <w:rsid w:val="003A370E"/>
    <w:rsid w:val="003B71D7"/>
    <w:rsid w:val="003C0FD8"/>
    <w:rsid w:val="003D1DB3"/>
    <w:rsid w:val="004017C4"/>
    <w:rsid w:val="0040673F"/>
    <w:rsid w:val="004221CB"/>
    <w:rsid w:val="004227D5"/>
    <w:rsid w:val="0042554A"/>
    <w:rsid w:val="004338FD"/>
    <w:rsid w:val="004372A6"/>
    <w:rsid w:val="00446AC6"/>
    <w:rsid w:val="004551C1"/>
    <w:rsid w:val="00457741"/>
    <w:rsid w:val="00460327"/>
    <w:rsid w:val="00485B01"/>
    <w:rsid w:val="004C4A52"/>
    <w:rsid w:val="004E5F90"/>
    <w:rsid w:val="00532E5F"/>
    <w:rsid w:val="005548CA"/>
    <w:rsid w:val="00555A7F"/>
    <w:rsid w:val="00577AE2"/>
    <w:rsid w:val="00595658"/>
    <w:rsid w:val="005A520F"/>
    <w:rsid w:val="005B090F"/>
    <w:rsid w:val="005C4CD0"/>
    <w:rsid w:val="005C6780"/>
    <w:rsid w:val="005C6DB8"/>
    <w:rsid w:val="005C7681"/>
    <w:rsid w:val="005D5B19"/>
    <w:rsid w:val="005E5E0F"/>
    <w:rsid w:val="005E7EC3"/>
    <w:rsid w:val="005F22AC"/>
    <w:rsid w:val="00607274"/>
    <w:rsid w:val="0063606F"/>
    <w:rsid w:val="00661093"/>
    <w:rsid w:val="00675D05"/>
    <w:rsid w:val="006837DE"/>
    <w:rsid w:val="006A15F0"/>
    <w:rsid w:val="006A5A36"/>
    <w:rsid w:val="006C10DD"/>
    <w:rsid w:val="006E5DFE"/>
    <w:rsid w:val="006F3418"/>
    <w:rsid w:val="007048F5"/>
    <w:rsid w:val="00715591"/>
    <w:rsid w:val="00724A79"/>
    <w:rsid w:val="007424E0"/>
    <w:rsid w:val="00747201"/>
    <w:rsid w:val="00751922"/>
    <w:rsid w:val="00764619"/>
    <w:rsid w:val="0078699C"/>
    <w:rsid w:val="00786B83"/>
    <w:rsid w:val="00786D0A"/>
    <w:rsid w:val="007971E3"/>
    <w:rsid w:val="007B042C"/>
    <w:rsid w:val="007D6084"/>
    <w:rsid w:val="007E575C"/>
    <w:rsid w:val="007F7CE3"/>
    <w:rsid w:val="00815CC0"/>
    <w:rsid w:val="0083725E"/>
    <w:rsid w:val="008533BC"/>
    <w:rsid w:val="008871AA"/>
    <w:rsid w:val="00892DDA"/>
    <w:rsid w:val="008A766F"/>
    <w:rsid w:val="008B124C"/>
    <w:rsid w:val="008B1883"/>
    <w:rsid w:val="008B4E4B"/>
    <w:rsid w:val="008C3AF1"/>
    <w:rsid w:val="008E1562"/>
    <w:rsid w:val="008E373F"/>
    <w:rsid w:val="008E6927"/>
    <w:rsid w:val="008F3498"/>
    <w:rsid w:val="00903B46"/>
    <w:rsid w:val="009119EF"/>
    <w:rsid w:val="0091424B"/>
    <w:rsid w:val="00915F1E"/>
    <w:rsid w:val="009456C3"/>
    <w:rsid w:val="00950F0D"/>
    <w:rsid w:val="00955E09"/>
    <w:rsid w:val="009577F2"/>
    <w:rsid w:val="00960F8C"/>
    <w:rsid w:val="009660D7"/>
    <w:rsid w:val="00984E58"/>
    <w:rsid w:val="009A67E1"/>
    <w:rsid w:val="009A7CC8"/>
    <w:rsid w:val="009B149E"/>
    <w:rsid w:val="009C1211"/>
    <w:rsid w:val="009D2A7D"/>
    <w:rsid w:val="009D4F48"/>
    <w:rsid w:val="009E106C"/>
    <w:rsid w:val="009E51B6"/>
    <w:rsid w:val="00A11E36"/>
    <w:rsid w:val="00A16DEF"/>
    <w:rsid w:val="00A21912"/>
    <w:rsid w:val="00A35D97"/>
    <w:rsid w:val="00A3687B"/>
    <w:rsid w:val="00A41274"/>
    <w:rsid w:val="00A42942"/>
    <w:rsid w:val="00A50979"/>
    <w:rsid w:val="00A57668"/>
    <w:rsid w:val="00A622C7"/>
    <w:rsid w:val="00A92AE4"/>
    <w:rsid w:val="00A932AE"/>
    <w:rsid w:val="00AB3C36"/>
    <w:rsid w:val="00AB60DB"/>
    <w:rsid w:val="00AC4174"/>
    <w:rsid w:val="00AC4FA6"/>
    <w:rsid w:val="00AC60AA"/>
    <w:rsid w:val="00AC7798"/>
    <w:rsid w:val="00AC7EDC"/>
    <w:rsid w:val="00AE5A3A"/>
    <w:rsid w:val="00AF6F2B"/>
    <w:rsid w:val="00B07763"/>
    <w:rsid w:val="00B07EF2"/>
    <w:rsid w:val="00B3537E"/>
    <w:rsid w:val="00B510A7"/>
    <w:rsid w:val="00B5142C"/>
    <w:rsid w:val="00B56D93"/>
    <w:rsid w:val="00B81B26"/>
    <w:rsid w:val="00B82B5A"/>
    <w:rsid w:val="00BA6E33"/>
    <w:rsid w:val="00BA70F2"/>
    <w:rsid w:val="00BC4F9E"/>
    <w:rsid w:val="00BD56E1"/>
    <w:rsid w:val="00BD7AC3"/>
    <w:rsid w:val="00C030AC"/>
    <w:rsid w:val="00C1577F"/>
    <w:rsid w:val="00C2042B"/>
    <w:rsid w:val="00C21521"/>
    <w:rsid w:val="00C25B83"/>
    <w:rsid w:val="00C347F5"/>
    <w:rsid w:val="00C54FD4"/>
    <w:rsid w:val="00C62A35"/>
    <w:rsid w:val="00C7042E"/>
    <w:rsid w:val="00C70693"/>
    <w:rsid w:val="00C765D9"/>
    <w:rsid w:val="00C848E9"/>
    <w:rsid w:val="00C914E1"/>
    <w:rsid w:val="00CB3825"/>
    <w:rsid w:val="00CB76CA"/>
    <w:rsid w:val="00CE0E15"/>
    <w:rsid w:val="00CF5D81"/>
    <w:rsid w:val="00D05721"/>
    <w:rsid w:val="00D2569B"/>
    <w:rsid w:val="00D375EF"/>
    <w:rsid w:val="00D4505C"/>
    <w:rsid w:val="00D516F1"/>
    <w:rsid w:val="00D52D5F"/>
    <w:rsid w:val="00D536BA"/>
    <w:rsid w:val="00D5703C"/>
    <w:rsid w:val="00D86739"/>
    <w:rsid w:val="00DA0A00"/>
    <w:rsid w:val="00DC1572"/>
    <w:rsid w:val="00DE0531"/>
    <w:rsid w:val="00DF1518"/>
    <w:rsid w:val="00E01032"/>
    <w:rsid w:val="00E37002"/>
    <w:rsid w:val="00E420C3"/>
    <w:rsid w:val="00E5415F"/>
    <w:rsid w:val="00E601B9"/>
    <w:rsid w:val="00E81D0C"/>
    <w:rsid w:val="00E90800"/>
    <w:rsid w:val="00E91781"/>
    <w:rsid w:val="00EA4C49"/>
    <w:rsid w:val="00EB4F99"/>
    <w:rsid w:val="00EC3144"/>
    <w:rsid w:val="00EE4CB5"/>
    <w:rsid w:val="00F21AD8"/>
    <w:rsid w:val="00F25B8E"/>
    <w:rsid w:val="00F25F9F"/>
    <w:rsid w:val="00F37F32"/>
    <w:rsid w:val="00F4182F"/>
    <w:rsid w:val="00F454BE"/>
    <w:rsid w:val="00F50A3D"/>
    <w:rsid w:val="00F545A9"/>
    <w:rsid w:val="00F87C76"/>
    <w:rsid w:val="00FA4F93"/>
    <w:rsid w:val="00FA70D1"/>
    <w:rsid w:val="00FB13DF"/>
    <w:rsid w:val="00FB37FC"/>
    <w:rsid w:val="00FC7ED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27440-354F-4805-B1BA-8F836A89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  <w:style w:type="character" w:styleId="a8">
    <w:name w:val="Strong"/>
    <w:basedOn w:val="a0"/>
    <w:qFormat/>
    <w:rsid w:val="00A5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2012-01-05T08:33:00Z</cp:lastPrinted>
  <dcterms:created xsi:type="dcterms:W3CDTF">2018-12-04T07:13:00Z</dcterms:created>
  <dcterms:modified xsi:type="dcterms:W3CDTF">2018-12-04T07:13:00Z</dcterms:modified>
</cp:coreProperties>
</file>